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563F3" w:rsidTr="00E563F3">
        <w:trPr>
          <w:jc w:val="center"/>
        </w:trPr>
        <w:tc>
          <w:tcPr>
            <w:tcW w:w="743" w:type="dxa"/>
            <w:hideMark/>
          </w:tcPr>
          <w:p w:rsidR="00E563F3" w:rsidRDefault="00E563F3">
            <w:pPr>
              <w:suppressLineNumbers/>
              <w:jc w:val="both"/>
              <w:rPr>
                <w:rFonts w:ascii="Arial" w:hAnsi="Arial"/>
                <w:b/>
                <w:bCs/>
                <w:sz w:val="26"/>
                <w:szCs w:val="26"/>
              </w:rPr>
            </w:pPr>
            <w:r>
              <w:rPr>
                <w:rFonts w:ascii="Arial" w:hAnsi="Arial"/>
                <w:b/>
                <w:bCs/>
                <w:sz w:val="26"/>
                <w:szCs w:val="26"/>
                <w:rtl/>
              </w:rPr>
              <w:t xml:space="preserve">לפני </w:t>
            </w:r>
          </w:p>
        </w:tc>
        <w:tc>
          <w:tcPr>
            <w:tcW w:w="8077" w:type="dxa"/>
            <w:gridSpan w:val="2"/>
          </w:tcPr>
          <w:p w:rsidR="00E563F3" w:rsidRDefault="00E563F3">
            <w:pPr>
              <w:suppressLineNumbers/>
              <w:jc w:val="left"/>
              <w:rPr>
                <w:rFonts w:ascii="Arial" w:hAnsi="Arial"/>
                <w:b/>
                <w:bCs/>
                <w:sz w:val="26"/>
                <w:szCs w:val="26"/>
                <w:rtl/>
              </w:rPr>
            </w:pPr>
            <w:r>
              <w:rPr>
                <w:rFonts w:ascii="Arial" w:hAnsi="Arial"/>
                <w:b/>
                <w:bCs/>
                <w:sz w:val="26"/>
                <w:szCs w:val="26"/>
                <w:rtl/>
              </w:rPr>
              <w:t>כבוד השופט אביגדור דורות</w:t>
            </w:r>
          </w:p>
          <w:p w:rsidR="00E563F3" w:rsidRDefault="00E563F3">
            <w:pPr>
              <w:suppressLineNumbers/>
              <w:rPr>
                <w:rFonts w:ascii="Arial" w:hAnsi="Arial" w:cs="FrankRuehl"/>
                <w:sz w:val="26"/>
                <w:szCs w:val="26"/>
                <w:highlight w:val="yellow"/>
                <w:rtl/>
              </w:rPr>
            </w:pPr>
          </w:p>
        </w:tc>
      </w:tr>
      <w:tr w:rsidR="00E563F3" w:rsidTr="00E563F3">
        <w:trPr>
          <w:jc w:val="center"/>
        </w:trPr>
        <w:tc>
          <w:tcPr>
            <w:tcW w:w="3249" w:type="dxa"/>
            <w:gridSpan w:val="2"/>
          </w:tcPr>
          <w:p w:rsidR="00E563F3" w:rsidRDefault="00E563F3">
            <w:pPr>
              <w:suppressLineNumbers/>
              <w:jc w:val="left"/>
              <w:rPr>
                <w:rFonts w:ascii="Arial" w:hAnsi="Arial"/>
                <w:b/>
                <w:bCs/>
                <w:noProof w:val="0"/>
                <w:sz w:val="26"/>
                <w:szCs w:val="26"/>
              </w:rPr>
            </w:pPr>
            <w:r>
              <w:rPr>
                <w:rFonts w:ascii="Arial" w:hAnsi="Arial"/>
                <w:b/>
                <w:bCs/>
                <w:noProof w:val="0"/>
                <w:sz w:val="26"/>
                <w:szCs w:val="26"/>
                <w:rtl/>
              </w:rPr>
              <w:t>המערערת:</w:t>
            </w:r>
          </w:p>
        </w:tc>
        <w:tc>
          <w:tcPr>
            <w:tcW w:w="5571" w:type="dxa"/>
          </w:tcPr>
          <w:p w:rsidR="00E563F3" w:rsidRDefault="00922A2F">
            <w:pPr>
              <w:suppressLineNumbers/>
              <w:jc w:val="left"/>
              <w:rPr>
                <w:rFonts w:ascii="Arial" w:hAnsi="Arial"/>
                <w:b/>
                <w:bCs/>
                <w:noProof w:val="0"/>
                <w:sz w:val="26"/>
                <w:szCs w:val="26"/>
                <w:rtl/>
              </w:rPr>
            </w:pPr>
            <w:r>
              <w:rPr>
                <w:rFonts w:ascii="Arial" w:hAnsi="Arial" w:hint="cs"/>
                <w:b/>
                <w:bCs/>
                <w:noProof w:val="0"/>
                <w:sz w:val="26"/>
                <w:szCs w:val="26"/>
                <w:rtl/>
              </w:rPr>
              <w:t>פלונית</w:t>
            </w:r>
          </w:p>
          <w:p w:rsidR="00E563F3" w:rsidRDefault="00E563F3">
            <w:pPr>
              <w:suppressLineNumbers/>
              <w:jc w:val="left"/>
              <w:rPr>
                <w:noProof w:val="0"/>
                <w:sz w:val="26"/>
                <w:szCs w:val="26"/>
                <w:rtl/>
              </w:rPr>
            </w:pPr>
            <w:r>
              <w:rPr>
                <w:rFonts w:ascii="Arial" w:hAnsi="Arial"/>
                <w:noProof w:val="0"/>
                <w:sz w:val="26"/>
                <w:szCs w:val="26"/>
                <w:rtl/>
              </w:rPr>
              <w:t>ע"י ב"כ עוה"ד</w:t>
            </w:r>
            <w:r>
              <w:rPr>
                <w:noProof w:val="0"/>
                <w:sz w:val="26"/>
                <w:szCs w:val="26"/>
                <w:rtl/>
              </w:rPr>
              <w:t xml:space="preserve"> עדי גרינפלד</w:t>
            </w:r>
          </w:p>
          <w:p w:rsidR="00E563F3" w:rsidRDefault="00E563F3">
            <w:pPr>
              <w:suppressLineNumbers/>
              <w:jc w:val="left"/>
              <w:rPr>
                <w:noProof w:val="0"/>
                <w:sz w:val="26"/>
                <w:szCs w:val="26"/>
                <w:rtl/>
              </w:rPr>
            </w:pPr>
            <w:r>
              <w:rPr>
                <w:noProof w:val="0"/>
                <w:sz w:val="26"/>
                <w:szCs w:val="26"/>
                <w:rtl/>
              </w:rPr>
              <w:t>מינוי על פי חוק הסיוע המשפטי</w:t>
            </w:r>
          </w:p>
        </w:tc>
      </w:tr>
      <w:tr w:rsidR="00E563F3" w:rsidTr="00E563F3">
        <w:trPr>
          <w:jc w:val="center"/>
        </w:trPr>
        <w:tc>
          <w:tcPr>
            <w:tcW w:w="8820" w:type="dxa"/>
            <w:gridSpan w:val="3"/>
          </w:tcPr>
          <w:p w:rsidR="00E563F3" w:rsidRDefault="00E563F3">
            <w:pPr>
              <w:suppressLineNumbers/>
              <w:rPr>
                <w:rFonts w:ascii="Arial" w:hAnsi="Arial"/>
                <w:b/>
                <w:bCs/>
                <w:noProof w:val="0"/>
                <w:sz w:val="26"/>
                <w:szCs w:val="26"/>
              </w:rPr>
            </w:pPr>
          </w:p>
          <w:p w:rsidR="00E563F3" w:rsidRDefault="00E563F3">
            <w:pPr>
              <w:suppressLineNumbers/>
              <w:jc w:val="center"/>
              <w:rPr>
                <w:rFonts w:ascii="Arial" w:hAnsi="Arial"/>
                <w:b/>
                <w:bCs/>
                <w:noProof w:val="0"/>
                <w:sz w:val="26"/>
                <w:szCs w:val="26"/>
                <w:rtl/>
              </w:rPr>
            </w:pPr>
            <w:r>
              <w:rPr>
                <w:rFonts w:ascii="Arial" w:hAnsi="Arial"/>
                <w:b/>
                <w:bCs/>
                <w:noProof w:val="0"/>
                <w:sz w:val="26"/>
                <w:szCs w:val="26"/>
                <w:rtl/>
              </w:rPr>
              <w:t>נגד</w:t>
            </w:r>
          </w:p>
          <w:p w:rsidR="00E563F3" w:rsidRDefault="00E563F3">
            <w:pPr>
              <w:suppressLineNumbers/>
              <w:rPr>
                <w:rFonts w:ascii="Arial" w:hAnsi="Arial"/>
                <w:b/>
                <w:bCs/>
                <w:noProof w:val="0"/>
                <w:sz w:val="26"/>
                <w:szCs w:val="26"/>
                <w:rtl/>
              </w:rPr>
            </w:pPr>
          </w:p>
        </w:tc>
      </w:tr>
      <w:tr w:rsidR="00E563F3" w:rsidTr="00E563F3">
        <w:trPr>
          <w:jc w:val="center"/>
        </w:trPr>
        <w:tc>
          <w:tcPr>
            <w:tcW w:w="3249" w:type="dxa"/>
            <w:gridSpan w:val="2"/>
            <w:hideMark/>
          </w:tcPr>
          <w:p w:rsidR="00E563F3" w:rsidRDefault="00E563F3">
            <w:pPr>
              <w:suppressLineNumbers/>
              <w:jc w:val="left"/>
              <w:rPr>
                <w:rFonts w:ascii="Arial" w:hAnsi="Arial"/>
                <w:b/>
                <w:bCs/>
                <w:noProof w:val="0"/>
                <w:sz w:val="26"/>
                <w:szCs w:val="26"/>
              </w:rPr>
            </w:pPr>
            <w:r>
              <w:rPr>
                <w:rFonts w:ascii="Arial" w:hAnsi="Arial"/>
                <w:b/>
                <w:bCs/>
                <w:noProof w:val="0"/>
                <w:sz w:val="26"/>
                <w:szCs w:val="26"/>
                <w:rtl/>
              </w:rPr>
              <w:t>המשיבים:</w:t>
            </w:r>
          </w:p>
        </w:tc>
        <w:tc>
          <w:tcPr>
            <w:tcW w:w="5571" w:type="dxa"/>
            <w:hideMark/>
          </w:tcPr>
          <w:p w:rsidR="00E563F3" w:rsidRDefault="00E563F3">
            <w:pPr>
              <w:suppressLineNumbers/>
              <w:jc w:val="left"/>
              <w:rPr>
                <w:rFonts w:ascii="Arial" w:hAnsi="Arial"/>
                <w:b/>
                <w:bCs/>
                <w:noProof w:val="0"/>
                <w:sz w:val="26"/>
                <w:szCs w:val="26"/>
              </w:rPr>
            </w:pPr>
            <w:r>
              <w:rPr>
                <w:rFonts w:ascii="Arial" w:hAnsi="Arial"/>
                <w:b/>
                <w:bCs/>
                <w:noProof w:val="0"/>
                <w:sz w:val="26"/>
                <w:szCs w:val="26"/>
                <w:rtl/>
              </w:rPr>
              <w:t>1. היועץ המשפטי</w:t>
            </w:r>
            <w:r>
              <w:rPr>
                <w:rtl/>
              </w:rPr>
              <w:t xml:space="preserve"> </w:t>
            </w:r>
            <w:r>
              <w:rPr>
                <w:rFonts w:ascii="Arial" w:hAnsi="Arial"/>
                <w:b/>
                <w:bCs/>
                <w:noProof w:val="0"/>
                <w:sz w:val="26"/>
                <w:szCs w:val="26"/>
                <w:rtl/>
              </w:rPr>
              <w:t>לממשלה</w:t>
            </w:r>
          </w:p>
          <w:p w:rsidR="00E563F3" w:rsidRDefault="00E563F3">
            <w:pPr>
              <w:suppressLineNumbers/>
              <w:jc w:val="left"/>
              <w:rPr>
                <w:rtl/>
              </w:rPr>
            </w:pPr>
            <w:r>
              <w:rPr>
                <w:rFonts w:ascii="Arial" w:hAnsi="Arial"/>
                <w:b/>
                <w:bCs/>
                <w:noProof w:val="0"/>
                <w:sz w:val="26"/>
                <w:szCs w:val="26"/>
                <w:rtl/>
              </w:rPr>
              <w:t>2. הפסיכיאטר המחוזי ירושלים</w:t>
            </w:r>
            <w:r>
              <w:rPr>
                <w:rtl/>
              </w:rPr>
              <w:t xml:space="preserve"> </w:t>
            </w:r>
          </w:p>
          <w:p w:rsidR="00E563F3" w:rsidRDefault="00E563F3">
            <w:pPr>
              <w:suppressLineNumbers/>
              <w:jc w:val="left"/>
              <w:rPr>
                <w:rFonts w:ascii="Arial" w:hAnsi="Arial"/>
                <w:b/>
                <w:bCs/>
                <w:noProof w:val="0"/>
                <w:sz w:val="26"/>
                <w:szCs w:val="26"/>
                <w:rtl/>
              </w:rPr>
            </w:pPr>
            <w:r>
              <w:rPr>
                <w:rFonts w:ascii="Arial" w:hAnsi="Arial"/>
                <w:b/>
                <w:bCs/>
                <w:noProof w:val="0"/>
                <w:sz w:val="26"/>
                <w:szCs w:val="26"/>
                <w:rtl/>
              </w:rPr>
              <w:t>3. הוועדה הפסיכיאטרית</w:t>
            </w:r>
            <w:r>
              <w:rPr>
                <w:rtl/>
              </w:rPr>
              <w:t xml:space="preserve"> </w:t>
            </w:r>
          </w:p>
          <w:p w:rsidR="00E563F3" w:rsidRDefault="00E563F3">
            <w:pPr>
              <w:suppressLineNumbers/>
              <w:jc w:val="left"/>
              <w:rPr>
                <w:sz w:val="26"/>
                <w:szCs w:val="26"/>
                <w:rtl/>
              </w:rPr>
            </w:pPr>
            <w:r>
              <w:rPr>
                <w:sz w:val="26"/>
                <w:szCs w:val="26"/>
                <w:rtl/>
              </w:rPr>
              <w:t>ע"י ב"כ עו"ד צחיק נצר</w:t>
            </w:r>
          </w:p>
          <w:p w:rsidR="00E563F3" w:rsidRDefault="00E563F3">
            <w:pPr>
              <w:suppressLineNumbers/>
              <w:jc w:val="left"/>
              <w:rPr>
                <w:rtl/>
              </w:rPr>
            </w:pPr>
            <w:r>
              <w:rPr>
                <w:sz w:val="26"/>
                <w:szCs w:val="26"/>
                <w:rtl/>
              </w:rPr>
              <w:t>מפרקליטות מחוז ירושלים (אזרחי)</w:t>
            </w:r>
          </w:p>
          <w:p w:rsidR="00E563F3" w:rsidRDefault="00E563F3">
            <w:pPr>
              <w:suppressLineNumbers/>
              <w:jc w:val="left"/>
              <w:rPr>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E563F3" w:rsidRDefault="00E563F3">
            <w:pPr>
              <w:bidi w:val="0"/>
              <w:jc w:val="center"/>
              <w:rPr>
                <w:rFonts w:ascii="Arial" w:hAnsi="Arial"/>
                <w:b/>
                <w:bCs/>
                <w:noProof w:val="0"/>
                <w:sz w:val="28"/>
                <w:szCs w:val="28"/>
                <w:u w:val="single"/>
                <w:rtl/>
              </w:rPr>
            </w:pPr>
          </w:p>
          <w:p w:rsidR="00D44968" w:rsidRDefault="001E7C7A" w:rsidP="00E563F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E563F3" w:rsidRPr="00E563F3" w:rsidRDefault="00E563F3" w:rsidP="00E563F3">
            <w:pPr>
              <w:bidi w:val="0"/>
              <w:jc w:val="center"/>
              <w:rPr>
                <w:rFonts w:ascii="Arial" w:hAnsi="Arial"/>
                <w:noProof w:val="0"/>
                <w:sz w:val="28"/>
                <w:szCs w:val="28"/>
              </w:rPr>
            </w:pPr>
            <w:r w:rsidRPr="00E563F3">
              <w:rPr>
                <w:rFonts w:ascii="Arial" w:hAnsi="Arial" w:hint="cs"/>
                <w:noProof w:val="0"/>
                <w:sz w:val="26"/>
                <w:szCs w:val="26"/>
                <w:rtl/>
              </w:rPr>
              <w:t>(עותק מותר בפרסום)</w:t>
            </w:r>
          </w:p>
        </w:tc>
      </w:tr>
    </w:tbl>
    <w:p w:rsidR="00694556" w:rsidRDefault="00694556">
      <w:pPr>
        <w:spacing w:line="360" w:lineRule="auto"/>
        <w:jc w:val="both"/>
        <w:rPr>
          <w:rFonts w:ascii="Arial" w:hAnsi="Arial"/>
          <w:noProof w:val="0"/>
          <w:rtl/>
        </w:rPr>
      </w:pPr>
      <w:bookmarkStart w:id="0" w:name="NGCSBookmark"/>
      <w:bookmarkEnd w:id="0"/>
    </w:p>
    <w:p w:rsidR="00E563F3" w:rsidRDefault="00E563F3" w:rsidP="00E563F3">
      <w:pPr>
        <w:pStyle w:val="ad"/>
        <w:numPr>
          <w:ilvl w:val="0"/>
          <w:numId w:val="1"/>
        </w:numPr>
        <w:spacing w:line="360" w:lineRule="auto"/>
        <w:jc w:val="both"/>
        <w:rPr>
          <w:rFonts w:ascii="Arial" w:hAnsi="Arial"/>
          <w:noProof w:val="0"/>
        </w:rPr>
      </w:pPr>
      <w:r>
        <w:rPr>
          <w:rFonts w:ascii="Arial" w:hAnsi="Arial"/>
          <w:noProof w:val="0"/>
          <w:rtl/>
        </w:rPr>
        <w:t xml:space="preserve">לפניי ערעור על החלטת וועדה פסיכיאטרית מחוזית למבוגרים מיום 11.12.2023, במסגרתה הוחלט (בדעת רוב) על הארכת האשפוז הכפוי של המערערת לתקופה של עד שבועיים (25.12.2023). </w:t>
      </w:r>
    </w:p>
    <w:p w:rsidR="00E563F3" w:rsidRDefault="00E563F3" w:rsidP="00E563F3">
      <w:pPr>
        <w:spacing w:line="360" w:lineRule="auto"/>
        <w:jc w:val="both"/>
        <w:rPr>
          <w:rFonts w:ascii="Arial" w:hAnsi="Arial"/>
          <w:b/>
          <w:bCs/>
          <w:noProof w:val="0"/>
          <w:u w:val="single"/>
        </w:rPr>
      </w:pPr>
    </w:p>
    <w:p w:rsidR="00E563F3" w:rsidRDefault="00E563F3" w:rsidP="00E563F3">
      <w:pPr>
        <w:spacing w:line="360" w:lineRule="auto"/>
        <w:jc w:val="both"/>
        <w:rPr>
          <w:rFonts w:ascii="Arial" w:hAnsi="Arial"/>
          <w:b/>
          <w:bCs/>
          <w:noProof w:val="0"/>
          <w:u w:val="single"/>
          <w:rtl/>
        </w:rPr>
      </w:pPr>
      <w:r>
        <w:rPr>
          <w:rFonts w:ascii="Arial" w:hAnsi="Arial"/>
          <w:b/>
          <w:bCs/>
          <w:noProof w:val="0"/>
          <w:u w:val="single"/>
          <w:rtl/>
        </w:rPr>
        <w:t>רקע והחלטת הוועדה</w:t>
      </w:r>
    </w:p>
    <w:p w:rsidR="00E563F3" w:rsidRDefault="00E563F3" w:rsidP="00E563F3">
      <w:pPr>
        <w:spacing w:line="360" w:lineRule="auto"/>
        <w:jc w:val="both"/>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המערערת הינה בת 40, גרושה ואם לארבעה ילדים קטינים (הגדול בן 10 והקטן בן 4). המערערת מתגוררת </w:t>
      </w:r>
      <w:r>
        <w:rPr>
          <w:rFonts w:ascii="Arial" w:hAnsi="Arial" w:hint="cs"/>
          <w:noProof w:val="0"/>
          <w:rtl/>
        </w:rPr>
        <w:t>[שם העיר]</w:t>
      </w:r>
      <w:r>
        <w:rPr>
          <w:rFonts w:ascii="Arial" w:hAnsi="Arial"/>
          <w:noProof w:val="0"/>
          <w:rtl/>
        </w:rPr>
        <w:t xml:space="preserve">, בעלת משמורת יחידנית על הילדים, אחות במקצועה, אשר אינה עובדת בתחום מזה כשנתיים.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בעברה של המערערת אשפוז יחיד במחלקת נשים בחודש ספטמבר 2023, בעקבות הוראת אשפוז ולאחר כעשרה ימים חתמה המערערת על הסכמה להמשך האשפוז. המערערת עברה לסטטוס של אשפוז יום, כאשר באופן מעשי היא לא הייתה במעקב של בית החולים ולבסוף שוחררה אדמיניסטרטיבית. לאחר האשפוז, המערערת הפסיקה כליל את הטיפול התרופתי ולא הייתה במעקב.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ביום קבלתה לאשפוז הנוכחי, המערערת נעלמה ליום שלם והשאירה את ילדיה לבד בביתה. היא נצפתה מדברת לעצמה, עומדת ובוהה בכביש. בבדיקתה במיון היא הייתה שרויה במצב פסיכוטי פעיל, עם הפרעות גסות בהלך החשיבה, שיפוט ובוחן מציאות פגומים </w:t>
      </w:r>
      <w:r>
        <w:rPr>
          <w:rFonts w:ascii="Arial" w:hAnsi="Arial"/>
          <w:noProof w:val="0"/>
          <w:rtl/>
        </w:rPr>
        <w:lastRenderedPageBreak/>
        <w:t xml:space="preserve">וחסרת כל תובנה למצבה הנפשי. המערערת אושפזה תחת הוראת אשפוז כפוי לפי סעיף 9(א) לחוק טיפול בחולי נפש, תשנ"א-1991 (להלן – </w:t>
      </w:r>
      <w:r>
        <w:rPr>
          <w:rFonts w:ascii="Arial" w:hAnsi="Arial"/>
          <w:b/>
          <w:bCs/>
          <w:noProof w:val="0"/>
          <w:rtl/>
        </w:rPr>
        <w:t>החוק</w:t>
      </w:r>
      <w:r>
        <w:rPr>
          <w:rFonts w:ascii="Arial" w:hAnsi="Arial"/>
          <w:noProof w:val="0"/>
          <w:rtl/>
        </w:rPr>
        <w:t xml:space="preserve">).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על פי דעת הרוב של שני הפסיכיאטרים החברים בוועדה, המערערת אושפזה בעקבות החמרה במצבה הנפשי, אשר באה לידי ביטוי במצב פסיכוטי פרנואידי והתנהגות מסוכנת כלפי עצמה ואחרים. לדעת הרוב, למרות שיפור מסוים מינימלי במצבה הנפשי של המערערת, היא עדיין דיסימולטיבית, חסרת תובנה למצבה ולמחלתה. נקבע, כי היא מגלה עדיין ברמזים מחשבות שווא של רדיפה ויחס. על פי דעת הרוב, רמת המסוכנות הנוכחית עדיין לא מספיקה לחלופת אשפוז כמו טיפול מרפאתי כפוי. לדעת הרוב, אף שהמערערת הבטיחה לקחת טיפול תרופתי אחרי שחרורה, היא אינה נשמעת אמינה.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על פי דעת המיעוט של יושב ראש הוועדה  (עורך דין משה ארד), לא קיימת כיום מסוכנות ברמה המחייבת אשפוז בכפייה. נקבע בדעת המיעוט, כי המערערת פסיכוטית והייתה במצב זה בעת שאושפזה, אז גם השאירה את ילדיה הקטינים בבית ללא השגחה למספר שעות. על פי דעת המיעוט, מאז עברו כשבועיים וחל שיפור במידה מסוימת וכי במצבה הנוכחי לא קיימת מסוכנות המצדיקה אשפוז כפוי. עוד סברה דעת המיעוט, כי אף אם המערערת תפסיק את הטיפול בקהילה, עדיין אין בכך כדי להוות מסוכנות במועד ההחלטה של הוועדה. יושב ראש הוועדה סבר, כי יש מקום להמיר את הוראת האשפוז בהוראה לטיפול מרפאתי כפוי. </w:t>
      </w:r>
    </w:p>
    <w:p w:rsidR="00E563F3" w:rsidRDefault="00E563F3" w:rsidP="00E563F3">
      <w:pPr>
        <w:spacing w:line="360" w:lineRule="auto"/>
        <w:jc w:val="both"/>
        <w:rPr>
          <w:rFonts w:ascii="Arial" w:hAnsi="Arial"/>
          <w:noProof w:val="0"/>
          <w:rtl/>
        </w:rPr>
      </w:pPr>
    </w:p>
    <w:p w:rsidR="00E563F3" w:rsidRDefault="00E563F3" w:rsidP="00E563F3">
      <w:pPr>
        <w:spacing w:line="360" w:lineRule="auto"/>
        <w:jc w:val="both"/>
        <w:rPr>
          <w:rFonts w:ascii="Arial" w:hAnsi="Arial"/>
          <w:b/>
          <w:bCs/>
          <w:noProof w:val="0"/>
          <w:u w:val="single"/>
          <w:rtl/>
        </w:rPr>
      </w:pPr>
      <w:r>
        <w:rPr>
          <w:rFonts w:ascii="Arial" w:hAnsi="Arial"/>
          <w:b/>
          <w:bCs/>
          <w:noProof w:val="0"/>
          <w:u w:val="single"/>
          <w:rtl/>
        </w:rPr>
        <w:t>טענות הצדדים</w:t>
      </w:r>
    </w:p>
    <w:p w:rsidR="00E563F3" w:rsidRDefault="00E563F3" w:rsidP="00E563F3">
      <w:pPr>
        <w:spacing w:line="360" w:lineRule="auto"/>
        <w:jc w:val="both"/>
        <w:rPr>
          <w:rFonts w:ascii="Arial" w:hAnsi="Arial"/>
          <w:b/>
          <w:bCs/>
          <w:noProof w:val="0"/>
          <w:u w:val="single"/>
          <w:rtl/>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לטענת המערערת, לא הוכחה כל מסוכנות פיזית ומידית בפני הוועדה ולא נשקלה בכובד ראש חלופת אשפוז כדוגמת טיפול מרפאתי כפוי, לאור הסכמת המערערת לקבל טיפול תרופתי ולהיות במעקב מרפאתי כפוי. </w:t>
      </w:r>
    </w:p>
    <w:p w:rsidR="00E563F3" w:rsidRDefault="00E563F3" w:rsidP="00E563F3">
      <w:pPr>
        <w:spacing w:line="360" w:lineRule="auto"/>
        <w:jc w:val="both"/>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לטענת בא כוח המערערת, המסוכנות אשר צריכה להימצא בחולה על מנת שניתן יהיה לאשפזו באשפוז כפוי, צריכה להיות ממשית ומוחשית, להבדיל מאפשרות בעלמא, היינו, כזו הגובלת בחשש או באפשרות ממשית לאסון. נטען, כי על אף היות המערערת פסיכוטית, לא קיימת מסוכנות ברמה המחייבת אשפוז בכפייה.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lastRenderedPageBreak/>
        <w:t xml:space="preserve">בכל הנוגע להשארת הילדים לבדם למספר שעות ללא השגחה, טענה בא כוח המערערת כי נעשתה פניה לגורמי הרווחה בהקשר זה, אולם אין בכך משום "סיכון פיזי מידי" מצד המערערת לילדיה.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לטענת המשיבים, קיומו של האשפוז הקודם בחודש ספטמבר מהווה אינדיקציה כשלעצמה למסוכנות. נטען, כי עקב מצבה הנפשי של המערערת וחוסר שיקול דעתה, יש חשש לפגיעה עצמית. בכל הנוגע לחלופת האשפוז נטען, כי קיים חשש מבוסס כי לאחר השחרור תחדל המערערת מהטיפול התרופתי, דבר שעשוי להרע את מצבה, ולהוביל לפגיעה בילדיה. עוד נטען, כי עובדת קיומה של דעת מיעוט, אינה מצדיקה, כשלעצמה, את התערבות בית המשפט בהחלטת הוועדה. </w:t>
      </w:r>
    </w:p>
    <w:p w:rsidR="00E563F3" w:rsidRDefault="00E563F3" w:rsidP="00E563F3">
      <w:pPr>
        <w:pStyle w:val="ad"/>
        <w:rPr>
          <w:rFonts w:ascii="Arial" w:hAnsi="Arial"/>
          <w:noProof w:val="0"/>
          <w:sz w:val="30"/>
          <w:szCs w:val="30"/>
        </w:rPr>
      </w:pPr>
    </w:p>
    <w:p w:rsidR="00E563F3" w:rsidRDefault="00E563F3" w:rsidP="00E563F3">
      <w:pPr>
        <w:spacing w:line="360" w:lineRule="auto"/>
        <w:jc w:val="both"/>
        <w:rPr>
          <w:rFonts w:ascii="Arial" w:hAnsi="Arial"/>
          <w:b/>
          <w:bCs/>
          <w:noProof w:val="0"/>
          <w:u w:val="single"/>
          <w:rtl/>
        </w:rPr>
      </w:pPr>
      <w:r>
        <w:rPr>
          <w:rFonts w:ascii="Arial" w:hAnsi="Arial"/>
          <w:b/>
          <w:bCs/>
          <w:noProof w:val="0"/>
          <w:u w:val="single"/>
          <w:rtl/>
        </w:rPr>
        <w:t>דיון והכרעה</w:t>
      </w:r>
    </w:p>
    <w:p w:rsidR="00E563F3" w:rsidRDefault="00E563F3" w:rsidP="00E563F3">
      <w:pPr>
        <w:pStyle w:val="ad"/>
        <w:rPr>
          <w:rFonts w:ascii="Arial" w:hAnsi="Arial"/>
          <w:noProof w:val="0"/>
          <w:sz w:val="30"/>
          <w:szCs w:val="3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האשפוז הכפוי במקרה זה מבוסס על הוראת סעיף 9(א) לחוק, על פיו יש לבחון את התקיימות התנאים שבסעיף 6(א)(1) ו-(2) לחוק וקיום קשר סיבתי בין שני התנאים האמורים. </w:t>
      </w:r>
    </w:p>
    <w:p w:rsidR="00E563F3" w:rsidRDefault="00E563F3" w:rsidP="00E563F3">
      <w:pPr>
        <w:spacing w:line="360" w:lineRule="auto"/>
        <w:jc w:val="both"/>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התנאים בסעיפים קטנים (1) ו-(2) של סעיף 6(א) לחוק הינם כדלקמן:</w:t>
      </w:r>
    </w:p>
    <w:p w:rsidR="00E563F3" w:rsidRDefault="00E563F3" w:rsidP="00E563F3">
      <w:pPr>
        <w:pStyle w:val="ad"/>
        <w:rPr>
          <w:rFonts w:ascii="Arial" w:hAnsi="Arial"/>
          <w:noProof w:val="0"/>
          <w:sz w:val="12"/>
          <w:szCs w:val="12"/>
        </w:rPr>
      </w:pPr>
    </w:p>
    <w:p w:rsidR="00E563F3" w:rsidRDefault="00E563F3" w:rsidP="00E563F3">
      <w:pPr>
        <w:pStyle w:val="ad"/>
        <w:spacing w:line="360" w:lineRule="auto"/>
        <w:ind w:left="1440"/>
        <w:jc w:val="both"/>
        <w:rPr>
          <w:rFonts w:ascii="Arial" w:hAnsi="Arial"/>
          <w:b/>
          <w:bCs/>
          <w:noProof w:val="0"/>
          <w:rtl/>
        </w:rPr>
      </w:pPr>
      <w:r>
        <w:rPr>
          <w:rFonts w:ascii="Arial" w:hAnsi="Arial"/>
          <w:b/>
          <w:bCs/>
          <w:noProof w:val="0"/>
          <w:rtl/>
        </w:rPr>
        <w:t>"(1) הוא חולה וכתוצאה ממחלתו פגום, במידה ניכרת, כושר שיפוטו או כושרו         לביקורת המציאות;</w:t>
      </w:r>
    </w:p>
    <w:p w:rsidR="00E563F3" w:rsidRDefault="00E563F3" w:rsidP="00E563F3">
      <w:pPr>
        <w:pStyle w:val="ad"/>
        <w:spacing w:line="360" w:lineRule="auto"/>
        <w:ind w:left="1440"/>
        <w:jc w:val="both"/>
        <w:rPr>
          <w:rFonts w:ascii="Arial" w:hAnsi="Arial"/>
          <w:b/>
          <w:bCs/>
          <w:noProof w:val="0"/>
          <w:rtl/>
        </w:rPr>
      </w:pPr>
      <w:r>
        <w:rPr>
          <w:rFonts w:ascii="Arial" w:hAnsi="Arial"/>
          <w:b/>
          <w:bCs/>
          <w:noProof w:val="0"/>
          <w:rtl/>
        </w:rPr>
        <w:t xml:space="preserve">(2) הוא עלול לסכן את עצמו או את זולתו </w:t>
      </w:r>
      <w:r>
        <w:rPr>
          <w:rFonts w:ascii="Arial" w:hAnsi="Arial"/>
          <w:b/>
          <w:bCs/>
          <w:noProof w:val="0"/>
          <w:u w:val="single"/>
          <w:rtl/>
        </w:rPr>
        <w:t>סיכון פיזי מיידי</w:t>
      </w:r>
      <w:r>
        <w:rPr>
          <w:rFonts w:ascii="Arial" w:hAnsi="Arial"/>
          <w:b/>
          <w:bCs/>
          <w:noProof w:val="0"/>
          <w:rtl/>
        </w:rPr>
        <w:t>;"</w:t>
      </w:r>
    </w:p>
    <w:p w:rsidR="00E563F3" w:rsidRDefault="00E563F3" w:rsidP="00E563F3">
      <w:pPr>
        <w:spacing w:line="360" w:lineRule="auto"/>
        <w:jc w:val="both"/>
        <w:rPr>
          <w:rFonts w:ascii="Arial" w:hAnsi="Arial"/>
          <w:noProof w:val="0"/>
          <w:sz w:val="10"/>
          <w:szCs w:val="10"/>
          <w:rtl/>
        </w:rPr>
      </w:pPr>
    </w:p>
    <w:p w:rsidR="00E563F3" w:rsidRDefault="00E563F3" w:rsidP="00E563F3">
      <w:pPr>
        <w:spacing w:line="360" w:lineRule="auto"/>
        <w:ind w:left="720"/>
        <w:jc w:val="both"/>
        <w:rPr>
          <w:rFonts w:ascii="Arial" w:hAnsi="Arial"/>
          <w:noProof w:val="0"/>
          <w:rtl/>
        </w:rPr>
      </w:pPr>
      <w:r>
        <w:rPr>
          <w:rFonts w:ascii="Arial" w:hAnsi="Arial"/>
          <w:noProof w:val="0"/>
          <w:rtl/>
        </w:rPr>
        <w:t xml:space="preserve">כעולה מהוראות אלה, אין די בכך כי כושר השיפוט או כושר לביקורת המציאות הינו פגום במידה ניכרת, כתוצאה ממחלת המערערת, כדי להצדיק אשפוז כפוי. תנאי הכרחי לאשפוז הכפוי הינו כי המטופל עלול לסכן את עצמו או את זולתו, סיכון פיזי מידי כתוצאה מהפגיעה הניכרת בכושר השיפוט או בכושרו לביקורת המציאות. </w:t>
      </w:r>
    </w:p>
    <w:p w:rsidR="00E563F3" w:rsidRDefault="00E563F3" w:rsidP="00E563F3">
      <w:pPr>
        <w:spacing w:line="360" w:lineRule="auto"/>
        <w:ind w:left="720"/>
        <w:jc w:val="both"/>
        <w:rPr>
          <w:rFonts w:ascii="Arial" w:hAnsi="Arial"/>
          <w:noProof w:val="0"/>
          <w:rtl/>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בכל הנוגע לעילת המסוכנות הנשקפת מהמטופל ולמשקל שיש לתת לעברו של החולה המאושפז ולאירועים שהתרחשו בעבר, נקבע ברע"א 1704/12 </w:t>
      </w:r>
      <w:r>
        <w:rPr>
          <w:rFonts w:ascii="Arial" w:hAnsi="Arial"/>
          <w:b/>
          <w:bCs/>
          <w:noProof w:val="0"/>
          <w:rtl/>
        </w:rPr>
        <w:t>פלוני נ' הוועדה הפסיכיאטרית המחוזית ואח'</w:t>
      </w:r>
      <w:r>
        <w:rPr>
          <w:rFonts w:ascii="Arial" w:hAnsi="Arial"/>
          <w:noProof w:val="0"/>
          <w:rtl/>
        </w:rPr>
        <w:t xml:space="preserve"> (18.3.2012)  (להלן: "</w:t>
      </w:r>
      <w:r>
        <w:rPr>
          <w:rFonts w:ascii="Arial" w:hAnsi="Arial"/>
          <w:b/>
          <w:bCs/>
          <w:noProof w:val="0"/>
          <w:rtl/>
        </w:rPr>
        <w:t>עניין פלוני</w:t>
      </w:r>
      <w:r>
        <w:rPr>
          <w:rFonts w:ascii="Arial" w:hAnsi="Arial"/>
          <w:noProof w:val="0"/>
          <w:rtl/>
        </w:rPr>
        <w:t>") כדלקמן (פסקה 13):</w:t>
      </w:r>
    </w:p>
    <w:p w:rsidR="00E563F3" w:rsidRDefault="00E563F3" w:rsidP="00E563F3">
      <w:pPr>
        <w:pStyle w:val="ad"/>
        <w:rPr>
          <w:rFonts w:ascii="Arial" w:hAnsi="Arial"/>
          <w:noProof w:val="0"/>
        </w:rPr>
      </w:pPr>
    </w:p>
    <w:p w:rsidR="00E563F3" w:rsidRDefault="00E563F3" w:rsidP="00E563F3">
      <w:pPr>
        <w:pStyle w:val="ad"/>
        <w:spacing w:line="360" w:lineRule="auto"/>
        <w:ind w:left="1440"/>
        <w:jc w:val="both"/>
        <w:rPr>
          <w:rFonts w:ascii="Arial" w:hAnsi="Arial"/>
          <w:b/>
          <w:bCs/>
          <w:noProof w:val="0"/>
        </w:rPr>
      </w:pPr>
      <w:r>
        <w:rPr>
          <w:rFonts w:ascii="Arial" w:hAnsi="Arial"/>
          <w:noProof w:val="0"/>
          <w:rtl/>
        </w:rPr>
        <w:t>"</w:t>
      </w:r>
      <w:r>
        <w:rPr>
          <w:rFonts w:ascii="Arial" w:hAnsi="Arial"/>
          <w:b/>
          <w:bCs/>
          <w:noProof w:val="0"/>
          <w:rtl/>
        </w:rPr>
        <w:t xml:space="preserve">שאלת מסוכנותו העתידית של אדם עניינה בהערכת הסיכון העתידי הנשקף ממנו והיא אינה בגדר מדע מדויק. על מה אפוא תתבסס הערכה כאמור? השכל </w:t>
      </w:r>
      <w:r>
        <w:rPr>
          <w:rFonts w:ascii="Arial" w:hAnsi="Arial"/>
          <w:b/>
          <w:bCs/>
          <w:noProof w:val="0"/>
          <w:rtl/>
        </w:rPr>
        <w:lastRenderedPageBreak/>
        <w:t>הישר מחייב כי הערכה זו תעשה על בסיס מצבו הנוכחי של מי שמסוכנותו מוערכת, בשים לב לעברו, לתהליך הטיפולי ולתוצאותיו, ולגורמי הסיכון המלווים אותו אף היום ובמיוחד במצב בו ישוחרר מאשפוז. עמדת הרופאים המטפלים המוצגת לפני הוועדה צריך שתתבסס על נתונים אלו ועל ניסיונם המקצועי. ככל שהיא מתבססת על נתונים כאמור היא אינה בגדר ספקולציה אלא בגדר הערכה מקצועית. דברים אלה נכונים אף באשר לקביעת הוועדה המחוזית אודות המסוכנות של אדם שעניינו נדון לפניה."</w:t>
      </w:r>
    </w:p>
    <w:p w:rsidR="00E563F3" w:rsidRDefault="00E563F3" w:rsidP="00E563F3">
      <w:pPr>
        <w:spacing w:line="360" w:lineRule="auto"/>
        <w:jc w:val="both"/>
        <w:rPr>
          <w:rFonts w:ascii="Arial" w:hAnsi="Arial"/>
          <w:b/>
          <w:bCs/>
          <w:noProof w:val="0"/>
          <w:rtl/>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בכל הנוגע לסוגית המסוכנות, איני סבור כי קיומו של האשפוז הקודם מחודש ספטמבר, יכול ללמד, כשלעצמו, על מסוכנות נוכחית, לאחר שחלפו למעלה מחודשיים מאז האשפוז הקודם. כפי שציינה דעת המיעוט (של יושב ראש הוועדה הפסיכיאטרית), המועד שבו יש לקבוע אם קיימת מסוכנות הוא מועד החלטת הוועדה הנוכחית. </w:t>
      </w:r>
    </w:p>
    <w:p w:rsidR="00E563F3" w:rsidRDefault="00E563F3" w:rsidP="00E563F3">
      <w:pPr>
        <w:pStyle w:val="ad"/>
        <w:spacing w:line="360" w:lineRule="auto"/>
        <w:jc w:val="both"/>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על פי דעת הרוב, חל שיפור מסוים (מינימלי) במצבה הנפשי של המערערת וזוהי אף התרשמות מנהלת מחלקת נשים בבית חולים "איתנים", אשר ציינה במכתבה מהיום כי "לאורך השבועיים האחרונים, חל שיפור מסוים במצבה". גם מנהלת המחלקה וגם דעת הרוב ציינו, כי המערערת עודנה שרויה במצב פסיכוטי, לרבות הפרעות גסות בהלך החשיבה ותובנה ירודה מאוד, אולם כאמור, אין די בכך על מנת להצדיק המשך אשפוז כפוי.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לפי מכתב מנהלת המחלקה, הועבר דיווח לרשויות הרווחה על חשד להזנחה כלפי הילדים. סבורני, כי חשד להזנחה זו אינו עולה כדי סיכון "פיזי מידי" לילדים מצד המערערת, המצדיק המשך אשפוז כפוי. </w:t>
      </w:r>
    </w:p>
    <w:p w:rsidR="00E563F3" w:rsidRDefault="00E563F3" w:rsidP="00E563F3">
      <w:pPr>
        <w:pStyle w:val="ad"/>
        <w:rPr>
          <w:rFonts w:ascii="Arial" w:hAnsi="Arial"/>
          <w:noProof w:val="0"/>
        </w:rPr>
      </w:pPr>
    </w:p>
    <w:p w:rsidR="00E563F3" w:rsidRDefault="00E563F3" w:rsidP="00E563F3">
      <w:pPr>
        <w:pStyle w:val="ad"/>
        <w:numPr>
          <w:ilvl w:val="0"/>
          <w:numId w:val="1"/>
        </w:numPr>
        <w:spacing w:line="360" w:lineRule="auto"/>
        <w:jc w:val="both"/>
        <w:rPr>
          <w:rtl/>
        </w:rPr>
      </w:pPr>
      <w:r>
        <w:rPr>
          <w:rFonts w:ascii="Arial" w:hAnsi="Arial"/>
          <w:noProof w:val="0"/>
          <w:rtl/>
        </w:rPr>
        <w:t xml:space="preserve">מכל מקום, חובת הוועדה הינה לשקול חלופת אשפוז. </w:t>
      </w:r>
      <w:r>
        <w:rPr>
          <w:rtl/>
        </w:rPr>
        <w:t>בית המשפט העליון קבע כי על הוועדה המחוזית בבואה לעשות שימוש בסמכותה להארכת אשפוז כפוי, לשקול האם קיימת חלופה אחרת שעשויה להתאים לחולה אשר פגיעתה בחרותו תהיה מידתית יותר מאשר אשפוז כפוי (אשפוז יום, טיפול מרפאתי כפוי, או שהות במוסד טיפולי ושיקומי אחר). בהקשר זה נקבע בעניין פלוני כך:</w:t>
      </w:r>
    </w:p>
    <w:p w:rsidR="00E563F3" w:rsidRDefault="00E563F3" w:rsidP="00E563F3">
      <w:pPr>
        <w:pStyle w:val="ad"/>
      </w:pPr>
    </w:p>
    <w:p w:rsidR="00E563F3" w:rsidRDefault="00E563F3" w:rsidP="00E563F3">
      <w:pPr>
        <w:pStyle w:val="ad"/>
        <w:spacing w:line="360" w:lineRule="auto"/>
        <w:ind w:left="1440"/>
        <w:jc w:val="both"/>
        <w:rPr>
          <w:b/>
          <w:bCs/>
        </w:rPr>
      </w:pPr>
      <w:r>
        <w:rPr>
          <w:rtl/>
        </w:rPr>
        <w:t>"</w:t>
      </w:r>
      <w:r>
        <w:rPr>
          <w:b/>
          <w:bCs/>
          <w:rtl/>
        </w:rPr>
        <w:t xml:space="preserve">ככלל, כל עוד שקלה הוועדה את החלופות לאשפוז הכפוי ציינה זאת בהחלטתה, ונימקה במסגרת החלטתה מדוע החלופות אינן מתאימות לחולה הספציפי, וכל עוד מתרשם בית המשפט כי החלטת הוועדה כמכלול הינה מאוזנת וסבירה, אינני סבור שבית המשפט צריך להתערב בהחלטות מסוג זה... </w:t>
      </w:r>
    </w:p>
    <w:p w:rsidR="00E563F3" w:rsidRDefault="00E563F3" w:rsidP="00E563F3">
      <w:pPr>
        <w:pStyle w:val="ad"/>
        <w:spacing w:line="360" w:lineRule="auto"/>
        <w:ind w:left="1440"/>
        <w:jc w:val="both"/>
        <w:rPr>
          <w:rtl/>
        </w:rPr>
      </w:pPr>
      <w:r>
        <w:rPr>
          <w:b/>
          <w:bCs/>
          <w:rtl/>
        </w:rPr>
        <w:lastRenderedPageBreak/>
        <w:t>אחד מאותם מקרים בהם עשוי בית המשפט להתערב בהחלטת הוועדה המחוזית הוא מקרה בו החלטת הוועדה המחוזית בדבר אי התאמה של חלופת אשפוז ניתנת ללא פירוט והנמקה ראויים בדבר העדר התאמה של החולה לחלופת האשפוז או בדבר המסוכנות שתשתקף מהחולה לעצמו או לסביבתו ככל שישוחרר לחלופת אשפוז. היעדר הנמקה ופירוט עשויים להוביל, במקרים מסוימים, להחזרת העניין לבחינה נוספת של הוועדה המחוזית."</w:t>
      </w:r>
    </w:p>
    <w:p w:rsidR="00E563F3" w:rsidRDefault="00E563F3" w:rsidP="00E563F3">
      <w:pPr>
        <w:spacing w:line="360" w:lineRule="auto"/>
        <w:jc w:val="both"/>
        <w:rPr>
          <w:rFonts w:ascii="Arial" w:hAnsi="Arial"/>
          <w:noProof w:val="0"/>
          <w:rtl/>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על פי דעת הרוב, רמת המסוכנות בעת הזו עדיין לא מספיקה לחלופת אשפוז, כגון טיפול מרפאתי כפוי. ההסבר שניתן למסקנה זו נעוץ בכך שהתחייבותה של המערערת להמשיך בטיפול התרופתי לאחר שחרורה, "לא נשמעת אמינה". על פי דעת המיעוט, היה מקום להמיר את הוראת האשפוז בהוראה לטיפול מרפאתי כפוי אף אם המערערת אינה אמינה ואף אם תפסיק את הטיפול בקהילה, שכן "רבים הם המטופלים שמשתחררים ומפסיקים את הטיפול לאחר שחרורם". </w:t>
      </w:r>
    </w:p>
    <w:p w:rsidR="00E563F3" w:rsidRDefault="00E563F3" w:rsidP="00E563F3">
      <w:pPr>
        <w:pStyle w:val="ad"/>
        <w:spacing w:line="360" w:lineRule="auto"/>
        <w:jc w:val="both"/>
        <w:rPr>
          <w:rFonts w:ascii="Arial" w:hAnsi="Arial"/>
          <w:noProof w:val="0"/>
        </w:rPr>
      </w:pPr>
    </w:p>
    <w:p w:rsidR="00E563F3" w:rsidRDefault="00E563F3" w:rsidP="00E563F3">
      <w:pPr>
        <w:pStyle w:val="ad"/>
        <w:numPr>
          <w:ilvl w:val="0"/>
          <w:numId w:val="1"/>
        </w:numPr>
        <w:spacing w:line="360" w:lineRule="auto"/>
        <w:jc w:val="both"/>
        <w:rPr>
          <w:rFonts w:ascii="Arial" w:hAnsi="Arial"/>
          <w:noProof w:val="0"/>
        </w:rPr>
      </w:pPr>
      <w:r>
        <w:rPr>
          <w:rFonts w:ascii="Arial" w:hAnsi="Arial"/>
          <w:noProof w:val="0"/>
          <w:rtl/>
        </w:rPr>
        <w:t xml:space="preserve">בע"א (חי') 39994-11-23 </w:t>
      </w:r>
      <w:r>
        <w:rPr>
          <w:rFonts w:ascii="Arial" w:hAnsi="Arial"/>
          <w:b/>
          <w:bCs/>
          <w:noProof w:val="0"/>
          <w:rtl/>
        </w:rPr>
        <w:t>ג' נ' מרכז בריאות הנפש מזרע</w:t>
      </w:r>
      <w:r>
        <w:rPr>
          <w:rFonts w:ascii="Arial" w:hAnsi="Arial"/>
          <w:noProof w:val="0"/>
          <w:rtl/>
        </w:rPr>
        <w:t xml:space="preserve"> </w:t>
      </w:r>
      <w:r>
        <w:rPr>
          <w:rFonts w:ascii="Arial" w:hAnsi="Arial"/>
          <w:b/>
          <w:bCs/>
          <w:noProof w:val="0"/>
          <w:rtl/>
        </w:rPr>
        <w:t>(מזור)</w:t>
      </w:r>
      <w:r>
        <w:rPr>
          <w:rFonts w:ascii="Arial" w:hAnsi="Arial"/>
          <w:noProof w:val="0"/>
          <w:rtl/>
        </w:rPr>
        <w:t xml:space="preserve"> (4.12.23), נדון ערעור על החלטת הוועדה הפסיכיאטרית בעניינה של מערערת בת 41 גרושה ואם לילד, אשר הובאה בהוראת בדיקה, לאחר שנצפתה מבולבלת, הייתה במצב פסיכוטי פרנואידי ובבדיקה גילתה מחשבות שווא של רדיפה כלפי בני משפחתה. הוועדה הפסיכיאטרית באותו עניין נימקה את החלטתה בדבר העדר חלופת אשפוז כדלקמן: </w:t>
      </w:r>
    </w:p>
    <w:p w:rsidR="00E563F3" w:rsidRDefault="00E563F3" w:rsidP="00E563F3">
      <w:pPr>
        <w:pStyle w:val="ad"/>
        <w:spacing w:line="360" w:lineRule="auto"/>
        <w:ind w:left="1440"/>
        <w:jc w:val="both"/>
        <w:rPr>
          <w:rFonts w:ascii="Arial" w:hAnsi="Arial"/>
          <w:noProof w:val="0"/>
        </w:rPr>
      </w:pPr>
      <w:r>
        <w:rPr>
          <w:rFonts w:ascii="Arial" w:hAnsi="Arial"/>
          <w:noProof w:val="0"/>
          <w:rtl/>
        </w:rPr>
        <w:t>"</w:t>
      </w:r>
      <w:r>
        <w:rPr>
          <w:rFonts w:ascii="Arial" w:hAnsi="Arial"/>
          <w:b/>
          <w:bCs/>
          <w:noProof w:val="0"/>
          <w:rtl/>
        </w:rPr>
        <w:t>עובדה היא שבין האשפוזים לא נטלה טיפול, לא הייתה במעקב, לפיכך אין אפשרת לסמוך על כך שאם תשוחרר תקפיד על מעקב וטיפול, גם אם יהיה כפוי, שכן במעקב כפוי המטופל במקרה הטוב מוזמן למרפאה אחת לחודש ואין פיקוח האם במהלך תקופה זו נוטלת את הטיפול</w:t>
      </w:r>
      <w:r>
        <w:rPr>
          <w:rFonts w:ascii="Arial" w:hAnsi="Arial"/>
          <w:noProof w:val="0"/>
          <w:rtl/>
        </w:rPr>
        <w:t xml:space="preserve">". </w:t>
      </w:r>
    </w:p>
    <w:p w:rsidR="00E563F3" w:rsidRDefault="00E563F3" w:rsidP="00E563F3">
      <w:pPr>
        <w:pStyle w:val="ad"/>
        <w:spacing w:line="360" w:lineRule="auto"/>
        <w:ind w:left="1440"/>
        <w:jc w:val="both"/>
        <w:rPr>
          <w:rFonts w:ascii="Arial" w:hAnsi="Arial"/>
          <w:noProof w:val="0"/>
          <w:rtl/>
        </w:rPr>
      </w:pPr>
    </w:p>
    <w:p w:rsidR="00E563F3" w:rsidRDefault="00E563F3" w:rsidP="00E563F3">
      <w:pPr>
        <w:spacing w:line="360" w:lineRule="auto"/>
        <w:ind w:left="720"/>
        <w:jc w:val="both"/>
        <w:rPr>
          <w:rFonts w:ascii="Arial" w:hAnsi="Arial"/>
          <w:noProof w:val="0"/>
          <w:rtl/>
        </w:rPr>
      </w:pPr>
      <w:r>
        <w:rPr>
          <w:rFonts w:ascii="Arial" w:hAnsi="Arial"/>
          <w:noProof w:val="0"/>
          <w:rtl/>
        </w:rPr>
        <w:t>בית המשפט המחוזי בחיפה מצא שאין לקבל את נימוק הוועדה הפסיכיאטרית ולא שוכנע מדוע לא תוכל המערערת להמשיך ולקבל טיפול רפואי שאינו כה פוגעני כאשפוז כפוי. בית המשפט סבר כי ניתן לבנות תוכנית טיפולית אשר תיתן מענה הולם ומידתי, ובהתאם לכך, הערעור התקבל.</w:t>
      </w:r>
    </w:p>
    <w:p w:rsidR="00E563F3" w:rsidRDefault="00E563F3" w:rsidP="00E563F3">
      <w:pPr>
        <w:spacing w:line="360" w:lineRule="auto"/>
        <w:jc w:val="both"/>
        <w:rPr>
          <w:rFonts w:ascii="Arial" w:hAnsi="Arial"/>
          <w:noProof w:val="0"/>
          <w:rtl/>
        </w:rPr>
      </w:pP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גם במקרה שלפניי סבורני כי אין לקבל את נימוקי דעת הרוב בוועדה ולא שוכנעתי מדוע לא תוכל המערערת להמשיך ולקבל טיפול תרופתי במסגרת טיפול מרפאתי כפוי. במידה והמערערת תחדל מנטילת הטיפול התרופתי תוך הפרת התחייבותה, ניתן יהיה לתת הוראת אשפוז בהתאם לסעיף 11(ד) לחוק. </w:t>
      </w:r>
    </w:p>
    <w:p w:rsidR="00E563F3" w:rsidRDefault="00E563F3" w:rsidP="00E563F3">
      <w:pPr>
        <w:spacing w:line="360" w:lineRule="auto"/>
        <w:ind w:left="360"/>
        <w:jc w:val="both"/>
        <w:rPr>
          <w:rFonts w:ascii="Arial" w:hAnsi="Arial"/>
          <w:b/>
          <w:bCs/>
          <w:noProof w:val="0"/>
          <w:u w:val="single"/>
          <w:rtl/>
        </w:rPr>
      </w:pPr>
    </w:p>
    <w:p w:rsidR="00E563F3" w:rsidRDefault="00E563F3" w:rsidP="00E563F3">
      <w:pPr>
        <w:spacing w:line="360" w:lineRule="auto"/>
        <w:ind w:left="360"/>
        <w:jc w:val="both"/>
        <w:rPr>
          <w:rFonts w:ascii="Arial" w:hAnsi="Arial"/>
          <w:b/>
          <w:bCs/>
          <w:noProof w:val="0"/>
          <w:u w:val="single"/>
          <w:rtl/>
        </w:rPr>
      </w:pPr>
      <w:r>
        <w:rPr>
          <w:rFonts w:ascii="Arial" w:hAnsi="Arial"/>
          <w:b/>
          <w:bCs/>
          <w:noProof w:val="0"/>
          <w:u w:val="single"/>
          <w:rtl/>
        </w:rPr>
        <w:t>סוף דבר</w:t>
      </w:r>
    </w:p>
    <w:p w:rsidR="00E563F3" w:rsidRDefault="00E563F3" w:rsidP="00E563F3">
      <w:pPr>
        <w:pStyle w:val="ad"/>
        <w:numPr>
          <w:ilvl w:val="0"/>
          <w:numId w:val="1"/>
        </w:numPr>
        <w:spacing w:line="360" w:lineRule="auto"/>
        <w:jc w:val="both"/>
        <w:rPr>
          <w:rFonts w:ascii="Arial" w:hAnsi="Arial"/>
          <w:noProof w:val="0"/>
          <w:rtl/>
        </w:rPr>
      </w:pPr>
      <w:r>
        <w:rPr>
          <w:rFonts w:ascii="Arial" w:hAnsi="Arial"/>
          <w:noProof w:val="0"/>
          <w:rtl/>
        </w:rPr>
        <w:t xml:space="preserve">לאור כל האמור הערעור מתקבל. בית החולים בו מאושפזת המערערת יערך לשחרור מידי של המערערת, כאשר הטיפול הדרוש למערערת יינתן לה במסגרת טיפול מרפאתי כפוי לתקופה שתקבע על ידי הפסיכיאטר המחוזי ובתנאים שיורה עליהם. </w:t>
      </w:r>
    </w:p>
    <w:p w:rsidR="00E563F3" w:rsidRDefault="00E563F3" w:rsidP="00E563F3">
      <w:pPr>
        <w:spacing w:line="360" w:lineRule="auto"/>
        <w:jc w:val="both"/>
        <w:rPr>
          <w:rFonts w:ascii="Arial" w:hAnsi="Arial"/>
          <w:noProof w:val="0"/>
        </w:rPr>
      </w:pPr>
    </w:p>
    <w:p w:rsidR="00E563F3" w:rsidRDefault="00E563F3" w:rsidP="00E563F3">
      <w:pPr>
        <w:spacing w:line="360" w:lineRule="auto"/>
        <w:jc w:val="both"/>
        <w:rPr>
          <w:rFonts w:ascii="Arial" w:hAnsi="Arial"/>
          <w:b/>
          <w:bCs/>
          <w:noProof w:val="0"/>
          <w:u w:val="single"/>
          <w:rtl/>
        </w:rPr>
      </w:pPr>
      <w:r>
        <w:rPr>
          <w:rFonts w:ascii="Arial" w:hAnsi="Arial"/>
          <w:b/>
          <w:bCs/>
          <w:noProof w:val="0"/>
          <w:u w:val="single"/>
          <w:rtl/>
        </w:rPr>
        <w:t xml:space="preserve">המזכירות תמציא בדחיפות את פסק הדין לב"כ הצדדים ותוודא קבלתו. </w:t>
      </w:r>
    </w:p>
    <w:p w:rsidR="00922A2F" w:rsidRDefault="00922A2F" w:rsidP="00E563F3">
      <w:pPr>
        <w:spacing w:line="360" w:lineRule="auto"/>
        <w:jc w:val="both"/>
        <w:rPr>
          <w:rFonts w:ascii="Arial" w:hAnsi="Arial"/>
          <w:b/>
          <w:bCs/>
          <w:noProof w:val="0"/>
          <w:u w:val="single"/>
          <w:rtl/>
        </w:rPr>
      </w:pPr>
    </w:p>
    <w:p w:rsidR="00E563F3" w:rsidRDefault="00E563F3" w:rsidP="00922A2F">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435095459"/>
          <w:text w:multiLine="1"/>
        </w:sdtPr>
        <w:sdtEndPr/>
        <w:sdtContent>
          <w:r>
            <w:rPr>
              <w:rFonts w:ascii="Arial" w:hAnsi="Arial" w:hint="cs"/>
              <w:noProof w:val="0"/>
              <w:rtl/>
            </w:rPr>
            <w:t>ב' טבת תשפ"ד</w:t>
          </w:r>
        </w:sdtContent>
      </w:sdt>
      <w:r>
        <w:rPr>
          <w:rFonts w:ascii="Arial" w:hAnsi="Arial"/>
          <w:noProof w:val="0"/>
          <w:rtl/>
        </w:rPr>
        <w:t xml:space="preserve">, </w:t>
      </w:r>
      <w:sdt>
        <w:sdtPr>
          <w:rPr>
            <w:rtl/>
          </w:rPr>
          <w:alias w:val="1456"/>
          <w:tag w:val="1456"/>
          <w:id w:val="-840467997"/>
          <w:text w:multiLine="1"/>
        </w:sdtPr>
        <w:sdtEndPr/>
        <w:sdtContent>
          <w:r>
            <w:rPr>
              <w:rFonts w:ascii="Arial" w:hAnsi="Arial" w:hint="cs"/>
              <w:noProof w:val="0"/>
              <w:rtl/>
            </w:rPr>
            <w:t>14 דצמבר 2023</w:t>
          </w:r>
        </w:sdtContent>
      </w:sdt>
      <w:r>
        <w:rPr>
          <w:rFonts w:ascii="Arial" w:hAnsi="Arial"/>
          <w:noProof w:val="0"/>
          <w:rtl/>
        </w:rPr>
        <w:t>, בהעדר הצדדים.</w:t>
      </w:r>
    </w:p>
    <w:p w:rsidR="00E563F3" w:rsidRDefault="003F6F03" w:rsidP="00E563F3">
      <w:pPr>
        <w:tabs>
          <w:tab w:val="left" w:pos="2553"/>
        </w:tabs>
        <w:ind w:left="5040"/>
        <w:rPr>
          <w:rtl/>
        </w:rPr>
      </w:pPr>
      <w:sdt>
        <w:sdtPr>
          <w:rPr>
            <w:rtl/>
          </w:rPr>
          <w:alias w:val="2045"/>
          <w:tag w:val="2045"/>
          <w:id w:val="1547719566"/>
          <w:placeholder>
            <w:docPart w:val="6571D0D440C74F98A3D2553673754997"/>
          </w:placeholder>
          <w:showingPlcHdr/>
          <w:text w:multiLine="1"/>
        </w:sdtPr>
        <w:sdtEndPr/>
        <w:sdtContent>
          <w:r w:rsidR="00E563F3">
            <w:rPr>
              <w:rtl/>
            </w:rPr>
            <w:t xml:space="preserve">     </w:t>
          </w:r>
        </w:sdtContent>
      </w:sdt>
    </w:p>
    <w:p w:rsidR="00E563F3" w:rsidRDefault="00E563F3" w:rsidP="00E563F3">
      <w:pPr>
        <w:tabs>
          <w:tab w:val="left" w:pos="2553"/>
        </w:tabs>
        <w:rPr>
          <w:rFonts w:ascii="Arial" w:hAnsi="Arial"/>
          <w:noProof w:val="0"/>
          <w:rtl/>
        </w:rPr>
      </w:pPr>
      <w:r>
        <w:rPr>
          <w:rtl/>
        </w:rPr>
        <w:tab/>
      </w:r>
      <w:r>
        <w:rPr>
          <w:rtl/>
        </w:rPr>
        <w:tab/>
      </w:r>
      <w:r>
        <w:rPr>
          <w:rtl/>
        </w:rPr>
        <w:tab/>
      </w:r>
    </w:p>
    <w:tbl>
      <w:tblPr>
        <w:tblStyle w:val="a9"/>
        <w:bidiVisual/>
        <w:tblW w:w="0" w:type="auto"/>
        <w:tblInd w:w="4212" w:type="dxa"/>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708"/>
      </w:tblGrid>
      <w:tr w:rsidR="00E563F3" w:rsidTr="00E563F3">
        <w:trPr>
          <w:trHeight w:val="364"/>
        </w:trPr>
        <w:tc>
          <w:tcPr>
            <w:tcW w:w="3708" w:type="dxa"/>
            <w:tcBorders>
              <w:top w:val="nil"/>
              <w:left w:val="nil"/>
              <w:bottom w:val="single" w:sz="4" w:space="0" w:color="auto"/>
              <w:right w:val="nil"/>
            </w:tcBorders>
          </w:tcPr>
          <w:p w:rsidR="00E563F3" w:rsidRDefault="003F6F03">
            <w:pPr>
              <w:jc w:val="center"/>
              <w:rPr>
                <w:noProof w:val="0"/>
                <w:rtl/>
              </w:rPr>
            </w:pPr>
            <w:sdt>
              <w:sdtPr>
                <w:rPr>
                  <w:rFonts w:cs="Times New Roman" w:hint="cs"/>
                  <w:rtl/>
                </w:rPr>
                <w:alias w:val="MergeField"/>
                <w:tag w:val="2144"/>
                <w:id w:val="-280428779"/>
              </w:sdtPr>
              <w:sdtEndPr/>
              <w:sdtContent>
                <w:r w:rsidR="00E563F3">
                  <w:drawing>
                    <wp:inline distT="0" distB="0" distL="0" distR="0">
                      <wp:extent cx="1514475" cy="570865"/>
                      <wp:effectExtent l="0" t="0" r="9525" b="63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570865"/>
                              </a:xfrm>
                              <a:prstGeom prst="rect">
                                <a:avLst/>
                              </a:prstGeom>
                              <a:noFill/>
                              <a:ln>
                                <a:noFill/>
                              </a:ln>
                            </pic:spPr>
                          </pic:pic>
                        </a:graphicData>
                      </a:graphic>
                    </wp:inline>
                  </w:drawing>
                </w:r>
              </w:sdtContent>
            </w:sdt>
          </w:p>
          <w:p w:rsidR="00E563F3" w:rsidRDefault="00E563F3">
            <w:pPr>
              <w:jc w:val="center"/>
              <w:rPr>
                <w:sz w:val="26"/>
                <w:szCs w:val="26"/>
              </w:rPr>
            </w:pPr>
          </w:p>
        </w:tc>
      </w:tr>
      <w:tr w:rsidR="00E563F3" w:rsidTr="00E563F3">
        <w:trPr>
          <w:trHeight w:val="415"/>
        </w:trPr>
        <w:tc>
          <w:tcPr>
            <w:tcW w:w="3708" w:type="dxa"/>
            <w:tcBorders>
              <w:top w:val="single" w:sz="4" w:space="0" w:color="auto"/>
              <w:left w:val="nil"/>
              <w:bottom w:val="nil"/>
              <w:right w:val="nil"/>
            </w:tcBorders>
            <w:hideMark/>
          </w:tcPr>
          <w:p w:rsidR="00E563F3" w:rsidRDefault="003F6F03">
            <w:pPr>
              <w:jc w:val="center"/>
              <w:rPr>
                <w:b/>
                <w:bCs/>
                <w:sz w:val="26"/>
                <w:szCs w:val="26"/>
                <w:rtl/>
              </w:rPr>
            </w:pPr>
            <w:sdt>
              <w:sdtPr>
                <w:rPr>
                  <w:rtl/>
                </w:rPr>
                <w:alias w:val="2141"/>
                <w:tag w:val="2141"/>
                <w:id w:val="424146769"/>
                <w:text w:multiLine="1"/>
              </w:sdtPr>
              <w:sdtEndPr/>
              <w:sdtContent>
                <w:r w:rsidR="00E563F3">
                  <w:rPr>
                    <w:b/>
                    <w:bCs/>
                    <w:sz w:val="26"/>
                    <w:szCs w:val="26"/>
                    <w:rtl/>
                  </w:rPr>
                  <w:t>אביגדור</w:t>
                </w:r>
              </w:sdtContent>
            </w:sdt>
            <w:r w:rsidR="00E563F3">
              <w:rPr>
                <w:b/>
                <w:bCs/>
                <w:sz w:val="26"/>
                <w:szCs w:val="26"/>
                <w:rtl/>
              </w:rPr>
              <w:t xml:space="preserve"> </w:t>
            </w:r>
            <w:sdt>
              <w:sdtPr>
                <w:rPr>
                  <w:rFonts w:cs="Times New Roman" w:hint="cs"/>
                  <w:rtl/>
                </w:rPr>
                <w:alias w:val="2142"/>
                <w:tag w:val="2142"/>
                <w:id w:val="1434550607"/>
                <w:text w:multiLine="1"/>
              </w:sdtPr>
              <w:sdtEndPr/>
              <w:sdtContent>
                <w:r w:rsidR="00E563F3">
                  <w:rPr>
                    <w:b/>
                    <w:bCs/>
                    <w:sz w:val="26"/>
                    <w:szCs w:val="26"/>
                    <w:rtl/>
                  </w:rPr>
                  <w:t>דורות</w:t>
                </w:r>
              </w:sdtContent>
            </w:sdt>
            <w:r w:rsidR="00E563F3">
              <w:rPr>
                <w:b/>
                <w:bCs/>
                <w:sz w:val="26"/>
                <w:szCs w:val="26"/>
                <w:rtl/>
              </w:rPr>
              <w:t xml:space="preserve">, </w:t>
            </w:r>
            <w:sdt>
              <w:sdtPr>
                <w:rPr>
                  <w:rFonts w:cs="Times New Roman" w:hint="cs"/>
                  <w:rtl/>
                </w:rPr>
                <w:alias w:val="2143"/>
                <w:tag w:val="2143"/>
                <w:id w:val="148415121"/>
                <w:text w:multiLine="1"/>
              </w:sdtPr>
              <w:sdtEndPr/>
              <w:sdtContent>
                <w:r w:rsidR="00E563F3">
                  <w:rPr>
                    <w:b/>
                    <w:bCs/>
                    <w:sz w:val="26"/>
                    <w:szCs w:val="26"/>
                    <w:rtl/>
                  </w:rPr>
                  <w:t>שופט</w:t>
                </w:r>
              </w:sdtContent>
            </w:sdt>
          </w:p>
        </w:tc>
      </w:tr>
    </w:tbl>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F03" w:rsidRDefault="003F6F03">
      <w:r>
        <w:separator/>
      </w:r>
    </w:p>
  </w:endnote>
  <w:endnote w:type="continuationSeparator" w:id="0">
    <w:p w:rsidR="003F6F03" w:rsidRDefault="003F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AA8" w:rsidRDefault="00A10A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10AA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10AA8">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AA8" w:rsidRDefault="00A10A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F03" w:rsidRDefault="003F6F03">
      <w:r>
        <w:separator/>
      </w:r>
    </w:p>
  </w:footnote>
  <w:footnote w:type="continuationSeparator" w:id="0">
    <w:p w:rsidR="003F6F03" w:rsidRDefault="003F6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AA8" w:rsidRDefault="00A10A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F6F03" w:rsidP="00E563F3">
          <w:pPr>
            <w:rPr>
              <w:b/>
              <w:bCs/>
              <w:noProof w:val="0"/>
              <w:sz w:val="26"/>
              <w:szCs w:val="26"/>
              <w:rtl/>
            </w:rPr>
          </w:pPr>
          <w:sdt>
            <w:sdtPr>
              <w:rPr>
                <w:rtl/>
              </w:rPr>
              <w:alias w:val="1170"/>
              <w:tag w:val="1170"/>
              <w:id w:val="1066377040"/>
              <w:text w:multiLine="1"/>
            </w:sdtPr>
            <w:sdtEndPr/>
            <w:sdtContent>
              <w:r w:rsidR="00AC5857">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AC5857">
                <w:rPr>
                  <w:b/>
                  <w:bCs/>
                  <w:noProof w:val="0"/>
                  <w:sz w:val="26"/>
                  <w:szCs w:val="26"/>
                  <w:rtl/>
                </w:rPr>
                <w:t>24003-12-23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563F3">
                <w:rPr>
                  <w:rFonts w:hint="cs"/>
                  <w:b/>
                  <w:bCs/>
                  <w:noProof w:val="0"/>
                  <w:sz w:val="26"/>
                  <w:szCs w:val="26"/>
                  <w:rtl/>
                </w:rPr>
                <w:t>פלונית</w:t>
              </w:r>
              <w:r w:rsidR="00AC5857">
                <w:rPr>
                  <w:b/>
                  <w:bCs/>
                  <w:noProof w:val="0"/>
                  <w:sz w:val="26"/>
                  <w:szCs w:val="26"/>
                  <w:rtl/>
                </w:rPr>
                <w:t xml:space="preserve"> נ' היועץ המשפטי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AA8" w:rsidRDefault="00A10A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89597E"/>
    <w:multiLevelType w:val="hybridMultilevel"/>
    <w:tmpl w:val="E654D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2143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21437&amp;lt;/CaseID&amp;gt;_x000d__x000a_        &amp;lt;CaseMonth&amp;gt;12&amp;lt;/CaseMonth&amp;gt;_x000d__x000a_        &amp;lt;CaseYear&amp;gt;2023&amp;lt;/CaseYear&amp;gt;_x000d__x000a_        &amp;lt;CaseNumber&amp;gt;24003&amp;lt;/CaseNumber&amp;gt;_x000d__x000a_        &amp;lt;NumeratorGroupID&amp;gt;1&amp;lt;/NumeratorGroupID&amp;gt;_x000d__x000a_        &amp;lt;CaseName&amp;gt;בזה נ&amp;#39; היועץ המשפטי ואח&amp;#39;&amp;lt;/CaseName&amp;gt;_x000d__x000a_        &amp;lt;CourtID&amp;gt;14&amp;lt;/CourtID&amp;gt;_x000d__x000a_        &amp;lt;CaseTypeID&amp;gt;10001&amp;lt;/CaseTypeID&amp;gt;_x000d__x000a_        &amp;lt;CaseInterestID&amp;gt;75&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003-12-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12T11:24: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CaseDesc&amp;gt;הודע לעו&amp;#39;ד גרינפלד תוכן ההחלטה שתודיע לכל הצדדים-אילנ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21437&amp;lt;/CaseID&amp;gt;_x000d__x000a_        &amp;lt;CaseMonth&amp;gt;12&amp;lt;/CaseMonth&amp;gt;_x000d__x000a_        &amp;lt;CaseYear&amp;gt;2023&amp;lt;/CaseYear&amp;gt;_x000d__x000a_        &amp;lt;CaseNumber&amp;gt;24003&amp;lt;/CaseNumber&amp;gt;_x000d__x000a_        &amp;lt;NumeratorGroupID&amp;gt;1&amp;lt;/NumeratorGroupID&amp;gt;_x000d__x000a_        &amp;lt;CaseName&amp;gt;בזה נ&amp;#39; היועץ המשפטי ואח&amp;#39;&amp;lt;/CaseName&amp;gt;_x000d__x000a_        &amp;lt;CourtID&amp;gt;14&amp;lt;/CourtID&amp;gt;_x000d__x000a_        &amp;lt;CaseTypeID&amp;gt;10001&amp;lt;/CaseTypeID&amp;gt;_x000d__x000a_        &amp;lt;CaseInterestID&amp;gt;75&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24003-12-23&amp;lt;/CaseDisplayIdentifier&amp;gt;_x000d__x000a_        &amp;lt;CaseTypeDesc&amp;gt;ע&amp;quot;א&amp;lt;/CaseTypeDesc&amp;gt;_x000d__x000a_        &amp;lt;CourtDesc&amp;gt;המחוזי ירושלים&amp;lt;/CourtDesc&amp;gt;_x000d__x000a_        &amp;lt;CaseStageDesc&amp;gt;תיק אלקטרוני&amp;lt;/CaseStageDesc&amp;gt;_x000d__x000a_        &amp;lt;CaseNextDeterminingTask&amp;gt;151&amp;lt;/CaseNextDeterminingTask&amp;gt;_x000d__x000a_        &amp;lt;CaseOpenDate&amp;gt;2023-12-12T11:24: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CaseDesc&amp;gt;הודע לעו&amp;#39;ד גרינפלד תוכן ההחלטה שתודיע לכל הצדדים-אילנ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587020&amp;lt;/DecisionID&amp;gt;_x000d__x000a_        &amp;lt;DecisionName&amp;gt;החלטה  שניתנה ע&amp;quot;י  אביגדור דורות&amp;lt;/DecisionName&amp;gt;_x000d__x000a_        &amp;lt;DecisionStatusID&amp;gt;1&amp;lt;/DecisionStatusID&amp;gt;_x000d__x000a_        &amp;lt;DecisionStatusChangeDate&amp;gt;2023-12-14T10:55:28.043+02:00&amp;lt;/DecisionStatusChangeDate&amp;gt;_x000d__x000a_        &amp;lt;DecisionSignatureDate&amp;gt;2023-12-14T10:55:26.543+02:00&amp;lt;/DecisionSignatureDate&amp;gt;_x000d__x000a_        &amp;lt;DecisionSignatureUserID&amp;gt;055121115@GOV.IL&amp;lt;/DecisionSignatureUserID&amp;gt;_x000d__x000a_        &amp;lt;DecisionCreateDate&amp;gt;2023-12-14T10:34:58.777+02:00&amp;lt;/DecisionCreateDate&amp;gt;_x000d__x000a_        &amp;lt;DecisionChangeDate&amp;gt;2023-12-14T10:55:28.17+02:00&amp;lt;/DecisionChangeDate&amp;gt;_x000d__x000a_        &amp;lt;DecisionChangeUserID&amp;gt;314909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85141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909128@GOV.IL&amp;lt;/DecisionCreationUserID&amp;gt;_x000d__x000a_        &amp;lt;DecisionDisplayName&amp;gt;החלטה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8587020&amp;lt;/DecisionID&amp;gt;_x000d__x000a_        &amp;lt;CaseID&amp;gt;80821437&amp;lt;/CaseID&amp;gt;_x000d__x000a_        &amp;lt;IsOriginal&amp;gt;true&amp;lt;/IsOriginal&amp;gt;_x000d__x000a_        &amp;lt;IsDeleted&amp;gt;false&amp;lt;/IsDeleted&amp;gt;_x000d__x000a_        &amp;lt;CaseName&amp;gt;בזה נ&amp;#39; היועץ המשפטי ואח&amp;#39;&amp;lt;/CaseName&amp;gt;_x000d__x000a_        &amp;lt;CaseDisplayIdentifier&amp;gt;24003-12-23 ע&amp;quot;א&amp;lt;/CaseDisplayIdentifier&amp;gt;_x000d__x000a_      &amp;lt;/dt_DecisionCase&amp;gt;_x000d__x000a_    &amp;lt;/DecisionDS&amp;gt;_x000d__x000a_  &amp;lt;/diffgr:diffgram&amp;gt;_x000d__x000a_&amp;lt;/DecisionDS&amp;gt;"/>
    <w:docVar w:name="DecisionID" w:val="148587020"/>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0141"/>
    <w:rsid w:val="00191C82"/>
    <w:rsid w:val="001C4003"/>
    <w:rsid w:val="001D4DBF"/>
    <w:rsid w:val="001E75CA"/>
    <w:rsid w:val="001E7C7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F6F03"/>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2A2F"/>
    <w:rsid w:val="0094424E"/>
    <w:rsid w:val="00955642"/>
    <w:rsid w:val="009622DF"/>
    <w:rsid w:val="0096493F"/>
    <w:rsid w:val="00967DFF"/>
    <w:rsid w:val="00994341"/>
    <w:rsid w:val="009D1A48"/>
    <w:rsid w:val="009E1CE7"/>
    <w:rsid w:val="009E4EA5"/>
    <w:rsid w:val="009F164B"/>
    <w:rsid w:val="009F323C"/>
    <w:rsid w:val="00A10AA8"/>
    <w:rsid w:val="00A3392B"/>
    <w:rsid w:val="00A81988"/>
    <w:rsid w:val="00A85E34"/>
    <w:rsid w:val="00A87DF6"/>
    <w:rsid w:val="00A9144F"/>
    <w:rsid w:val="00A91AFB"/>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BF3395"/>
    <w:rsid w:val="00C22D93"/>
    <w:rsid w:val="00C23458"/>
    <w:rsid w:val="00C31120"/>
    <w:rsid w:val="00C34482"/>
    <w:rsid w:val="00C43648"/>
    <w:rsid w:val="00C50A9F"/>
    <w:rsid w:val="00C642FA"/>
    <w:rsid w:val="00CC7622"/>
    <w:rsid w:val="00CD516B"/>
    <w:rsid w:val="00CD608F"/>
    <w:rsid w:val="00CE0084"/>
    <w:rsid w:val="00CF6BB7"/>
    <w:rsid w:val="00D00E1B"/>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563F3"/>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E563F3"/>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563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02567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8717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6571D0D440C74F98A3D2553673754997"/>
        <w:category>
          <w:name w:val="כללי"/>
          <w:gallery w:val="placeholder"/>
        </w:category>
        <w:types>
          <w:type w:val="bbPlcHdr"/>
        </w:types>
        <w:behaviors>
          <w:behavior w:val="content"/>
        </w:behaviors>
        <w:guid w:val="{D55B8A19-BE42-4A01-8545-52EBADE723C4}"/>
      </w:docPartPr>
      <w:docPartBody>
        <w:p w:rsidR="00DD0A44" w:rsidRDefault="00626B70" w:rsidP="00626B70">
          <w:pPr>
            <w:pStyle w:val="6571D0D440C74F98A3D2553673754997"/>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C08D7"/>
    <w:rsid w:val="002D02C4"/>
    <w:rsid w:val="002D09CE"/>
    <w:rsid w:val="00345C9D"/>
    <w:rsid w:val="0048651F"/>
    <w:rsid w:val="004B017A"/>
    <w:rsid w:val="005157ED"/>
    <w:rsid w:val="00556D67"/>
    <w:rsid w:val="00626B70"/>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6619A"/>
    <w:rsid w:val="00C96C06"/>
    <w:rsid w:val="00D24521"/>
    <w:rsid w:val="00D6580E"/>
    <w:rsid w:val="00DD0A44"/>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26B7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626B70"/>
    <w:pPr>
      <w:bidi/>
      <w:spacing w:after="0" w:line="240" w:lineRule="auto"/>
    </w:pPr>
    <w:rPr>
      <w:rFonts w:ascii="Times New Roman" w:eastAsia="Times New Roman" w:hAnsi="Times New Roman" w:cs="David"/>
      <w:noProof/>
      <w:sz w:val="24"/>
      <w:szCs w:val="24"/>
    </w:rPr>
  </w:style>
  <w:style w:type="paragraph" w:customStyle="1" w:styleId="6571D0D440C74F98A3D2553673754997">
    <w:name w:val="6571D0D440C74F98A3D2553673754997"/>
    <w:rsid w:val="00626B70"/>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זרפה בזה</FullName>
        <FirstName>זרפה</FirstName>
        <LastName>בזה</LastName>
        <PartyPropertyName/>
        <AuthenticationTypeAndNumber>ת"ז 319523247</AuthenticationTypeAndNumber>
        <RepresentatedOrRepresentativesNames>עדי גרינפלד</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263568172</CasePartyID>
        <PartyTypeID>1</PartyTypeID>
        <ActivityStatusID>1</ActivityStatusID>
        <PartyAliasID>5</PartyAliasID>
        <PartyAliasName>מערער</PartyAliasName>
        <OrdinalNumber>1</OrdinalNumber>
        <LegalEntityID>70238211</LegalEntityID>
        <CaseLegalEntityID>126950489</CaseLegalEntityID>
        <AuthenticationTypeID>1</AuthenticationTypeID>
        <AuthenticationTypeName>ת"ז</AuthenticationTypeName>
        <LegalEntityNumber>319523247</LegalEntityNumber>
        <IsMainPartyType>true</IsMainPartyType>
        <CaseDisplayIdentifier>24003-12-23</CaseDisplayIdentifier>
        <CaseTypeID>10001</CaseTypeID>
        <CaseTypeName>ערעור אזרחי (ע"א)</CaseTypeName>
        <CaseName>בזה נ' היועץ המשפטי ואח'</CaseName>
        <FullAddress/>
        <MotionID>0</MotionID>
        <CasePleaID>0</CasePleaID>
        <FatherName>אבבה</FatherName>
        <LinkedCaseID>0</LinkedCaseID>
        <PartyID>1</PartyID>
        <CasePartyCategoryID>2</CasePartyCategoryID>
        <PleaTypeID>6</PleaTypeID>
        <GroupPartyAlias>מערערים</GroupPartyAlias>
        <IsConverted>false</IsConverted>
        <LegalEntityRegisteredNameID>10584849</LegalEntityRegisteredNameID>
        <LegalEntityNameID>95841139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זרפה בזה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עדי גרינפלד</FullName>
        <FirstName>עדי</FirstName>
        <LastName>גרינפלד</LastName>
        <PartyPropertyName/>
        <AuthenticationTypeAndNumber>מ.ר. 48718</AuthenticationTypeAndNumber>
        <RepresentatedOrRepresentativesNames>זרפה בזה</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263568173</CasePartyID>
        <PartyTypeID>2</PartyTypeID>
        <ActivityStatusID>1</ActivityStatusID>
        <PartyAliasID>24</PartyAliasID>
        <PartyAliasName>בא כוח מערערים</PartyAliasName>
        <OrdinalNumber>1</OrdinalNumber>
        <LegalEntityID>15877232</LegalEntityID>
        <CaseLegalEntityID>126950490</CaseLegalEntityID>
        <AuthenticationTypeID>4</AuthenticationTypeID>
        <AuthenticationTypeName>מ.ר.</AuthenticationTypeName>
        <LegalEntityNumber>48718</LegalEntityNumber>
        <IsMainPartyType>true</IsMainPartyType>
        <CaseDisplayIdentifier>24003-12-23</CaseDisplayIdentifier>
        <CaseTypeID>10001</CaseTypeID>
        <CaseTypeName>ערעור אזרחי (ע"א)</CaseTypeName>
        <CaseName>בזה נ' היועץ המשפטי ואח'</CaseName>
        <FullAddress>יזהר סמילנסקי 5ב רחובות רחובות</FullAddress>
        <MotionID>0</MotionID>
        <CasePleaID>0</CasePleaID>
        <LinkedCaseID>0</LinkedCaseID>
        <PartyID>1</PartyID>
        <CasePartyCategoryID>2</CasePartyCategoryID>
        <LegalEntityAddressID>82072273</LegalEntityAddressID>
        <PleaTypeID>6</PleaTypeID>
        <LawyerOfficeName>משרד עו"ד עדי גרינפלד</LawyerOfficeName>
        <LawyerOfficeID>15877233</LawyerOfficeID>
        <GroupPartyAlias/>
        <IsConverted>false</IsConverted>
        <LegalEntityNameID>17524331</LegalEntityNameID>
        <RepresentatedNamesOfAssistant/>
        <LegalEntityTypeID>4</LegalEntityTypeID>
        <IsVerdictExists>false</IsVerdictExists>
        <IsAsirAzir>false</IsAsirAzir>
        <IsPublicationProhibited>false</IsPublicationProhibited>
        <PublicationProhibitedFullName>עדי גרינפלד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לממשלה היועץ המשפטי</FullName>
        <FirstName>לממשלה</FirstName>
        <LastName>היועץ המשפטי</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263568174</CasePartyID>
        <PartyTypeID>1</PartyTypeID>
        <ActivityStatusID>1</ActivityStatusID>
        <PartyAliasID>4</PartyAliasID>
        <PartyAliasName>משיב</PartyAliasName>
        <OrdinalNumber>1</OrdinalNumber>
        <LegalEntityID>81606353</LegalEntityID>
        <CaseLegalEntityID>126950491</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95841140</LegalEntityNameID>
        <RepresentatedNamesOfAssistant/>
        <LegalEntityTypeID>1</LegalEntityTypeID>
        <IsVerdictExists>false</IsVerdictExists>
        <IsAsirAzir>false</IsAsirAzir>
        <IsPublicationProhibited>false</IsPublicationProhibited>
        <PublicationProhibitedFullName>לממשלה היועץ המשפטי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בית החולים איתנים, משרד הבריאות, לממשלה היועץ המשפטי, הפסיכיאטר המחוזי ירושלים</RepresentatedOrRepresentativesNames>
        <RepresentatedOrRepresentativesCount>4</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263568175</CasePartyID>
        <PartyTypeID>2</PartyTypeID>
        <ActivityStatusID>1</ActivityStatusID>
        <PartyAliasID>23</PartyAliasID>
        <PartyAliasName>בא כוח משיבים</PartyAliasName>
        <OrdinalNumber>1</OrdinalNumber>
        <LegalEntityID>401563</LegalEntityID>
        <CaseLegalEntityID>126950492</CaseLegalEntityID>
        <AuthenticationTypeID>4</AuthenticationTypeID>
        <AuthenticationTypeName>מ.ר.</AuthenticationTypeName>
        <LegalEntityNumber>23388</LegalEntityNumber>
        <IsMainPartyType>true</IsMainPartyType>
        <CaseDisplayIdentifier>24003-12-23</CaseDisplayIdentifier>
        <CaseTypeID>10001</CaseTypeID>
        <CaseTypeName>ערעור אזרחי (ע"א)</CaseTypeName>
        <CaseName>בזה נ' היועץ המשפטי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משרד הבריאות</FullName>
        <FirstName>משרד</FirstName>
        <LastName>הבריאות</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263568169</CasePartyID>
        <PartyTypeID>1</PartyTypeID>
        <ActivityStatusID>1</ActivityStatusID>
        <PartyAliasID>4</PartyAliasID>
        <PartyAliasName>משיב</PartyAliasName>
        <OrdinalNumber>2</OrdinalNumber>
        <LegalEntityID>81606350</LegalEntityID>
        <CaseLegalEntityID>126950486</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95841136</LegalEntityNameID>
        <RepresentatedNamesOfAssistant/>
        <LegalEntityTypeID>1</LegalEntityTypeID>
        <IsVerdictExists>false</IsVerdictExists>
        <IsAsirAzir>false</IsAsirAzir>
        <IsPublicationProhibited>false</IsPublicationProhibited>
        <PublicationProhibitedFullName>משרד הבריאות</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הפסיכיאטר המחוזי ירושלים</FullName>
        <FirstName>הפסיכיאטר המחוזי</FirstName>
        <LastName>ירושלים</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263568170</CasePartyID>
        <PartyTypeID>1</PartyTypeID>
        <ActivityStatusID>1</ActivityStatusID>
        <PartyAliasID>4</PartyAliasID>
        <PartyAliasName>משיב</PartyAliasName>
        <OrdinalNumber>3</OrdinalNumber>
        <LegalEntityID>81606351</LegalEntityID>
        <CaseLegalEntityID>126950487</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95841137</LegalEntityNameID>
        <RepresentatedNamesOfAssistant/>
        <LegalEntityTypeID>1</LegalEntityTypeID>
        <IsVerdictExists>false</IsVerdictExists>
        <IsAsirAzir>false</IsAsirAzir>
        <IsPublicationProhibited>false</IsPublicationProhibited>
        <PublicationProhibitedFullName>הפסיכיאטר המחוזי ירושלים</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בית החולים איתנים</FullName>
        <FirstName>בית החולים</FirstName>
        <LastName>איתנים</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263568171</CasePartyID>
        <PartyTypeID>1</PartyTypeID>
        <ActivityStatusID>1</ActivityStatusID>
        <PartyAliasID>4</PartyAliasID>
        <PartyAliasName>משיב</PartyAliasName>
        <OrdinalNumber>4</OrdinalNumber>
        <LegalEntityID>81606352</LegalEntityID>
        <CaseLegalEntityID>126950488</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95841138</LegalEntityNameID>
        <RepresentatedNamesOfAssistant/>
        <LegalEntityTypeID>1</LegalEntityTypeID>
        <IsVerdictExists>false</IsVerdictExists>
        <IsAsirAzir>false</IsAsirAzir>
        <IsPublicationProhibited>false</IsPublicationProhibited>
        <PublicationProhibitedFullName>בית החולים איתנים</PublicationProhibitedFullName>
      </CaseParties>
    </CasePartiesSelectionDS>
    <DecisionName>החלטה  שניתנה ע"י  אביגדור דורות</DecisionName>
    <CourtDisplayName>בית המשפט המחוזי בירושלים בשבתו כבית-משפט לערעורים אזרחיים</CourtDisplayName>
    <IsCaseJudgePanel>false</IsCaseJudgePanel>
    <DecisionSignatureDate>2023-12-14T10:32:21.8965705+02:00</DecisionSignatureDate>
    <OpenCaseDate>2023-12-12T11:24:00+02:00</OpenCaseDate>
    <CaseFeeSum>0.000</CaseFeeSum>
    <ExternalCaseNumber>.</ExternalCaseNumber>
    <DecisionTypeID>1</DecisionTypeID>
    <DecisionSignatureUserName>אביגדור דורות</DecisionSignatureUserName>
    <DecisionSignatureDateHebrew>2023-12-14T10:32:21.8965705+02:00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בזה נ' היועץ המשפטי ואח'</CaseName>
    <DecisionNumberInCase>4</DecisionNumberInCase>
  </dt_Decision>
  <dt_DecisionCase>
    <DecisionID>0</DecisionID>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זרפה בזה</FullName>
        <FirstName>זרפה</FirstName>
        <LastName>בזה</LastName>
        <PartyPropertyName/>
        <AuthenticationTypeAndNumber>ת"ז 319523247</AuthenticationTypeAndNumber>
        <RepresentatedOrRepresentativesNames>עדי גרינפלד</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263568172</CasePartyID>
        <PartyTypeID>1</PartyTypeID>
        <ActivityStatusID>1</ActivityStatusID>
        <PartyAliasID>5</PartyAliasID>
        <PartyAliasName>מערער</PartyAliasName>
        <OrdinalNumber>1</OrdinalNumber>
        <LegalEntityID>70238211</LegalEntityID>
        <CaseLegalEntityID>126950489</CaseLegalEntityID>
        <AuthenticationTypeID>1</AuthenticationTypeID>
        <AuthenticationTypeName>ת"ז</AuthenticationTypeName>
        <LegalEntityNumber>319523247</LegalEntityNumber>
        <IsMainPartyType>true</IsMainPartyType>
        <CaseDisplayIdentifier>24003-12-23</CaseDisplayIdentifier>
        <CaseTypeID>10001</CaseTypeID>
        <CaseTypeName>ערעור אזרחי (ע"א)</CaseTypeName>
        <CaseName>בזה נ' היועץ המשפטי ואח'</CaseName>
        <FullAddress/>
        <MotionID>0</MotionID>
        <CasePleaID>0</CasePleaID>
        <FatherName>אבבה</FatherName>
        <LinkedCaseID>0</LinkedCaseID>
        <PartyID>1</PartyID>
        <CasePartyCategoryID>2</CasePartyCategoryID>
        <PleaTypeID>6</PleaTypeID>
        <GroupPartyAlias>מערערים</GroupPartyAlias>
        <IsConverted>false</IsConverted>
        <LegalEntityRegisteredNameID>10584849</LegalEntityRegisteredNameID>
        <LegalEntityNameID>95841139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זרפה בזה</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עדי גרינפלד</FullName>
        <FirstName>עדי</FirstName>
        <LastName>גרינפלד</LastName>
        <PartyPropertyName/>
        <AuthenticationTypeAndNumber>מ.ר. 48718</AuthenticationTypeAndNumber>
        <RepresentatedOrRepresentativesNames>זרפה בזה</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263568173</CasePartyID>
        <PartyTypeID>2</PartyTypeID>
        <ActivityStatusID>1</ActivityStatusID>
        <PartyAliasID>24</PartyAliasID>
        <PartyAliasName>בא כוח מערערים</PartyAliasName>
        <OrdinalNumber>1</OrdinalNumber>
        <LegalEntityID>15877232</LegalEntityID>
        <CaseLegalEntityID>126950490</CaseLegalEntityID>
        <AuthenticationTypeID>4</AuthenticationTypeID>
        <AuthenticationTypeName>מ.ר.</AuthenticationTypeName>
        <LegalEntityNumber>48718</LegalEntityNumber>
        <IsMainPartyType>true</IsMainPartyType>
        <CaseDisplayIdentifier>24003-12-23</CaseDisplayIdentifier>
        <CaseTypeID>10001</CaseTypeID>
        <CaseTypeName>ערעור אזרחי (ע"א)</CaseTypeName>
        <CaseName>בזה נ' היועץ המשפטי ואח'</CaseName>
        <FullAddress>יזהר סמילנסקי 5ב רחובות רחובות</FullAddress>
        <MotionID>0</MotionID>
        <CasePleaID>0</CasePleaID>
        <LinkedCaseID>0</LinkedCaseID>
        <PartyID>1</PartyID>
        <CasePartyCategoryID>2</CasePartyCategoryID>
        <LegalEntityAddressID>82072273</LegalEntityAddressID>
        <PleaTypeID>6</PleaTypeID>
        <LawyerOfficeName>משרד עו"ד עדי גרינפלד</LawyerOfficeName>
        <LawyerOfficeID>15877233</LawyerOfficeID>
        <GroupPartyAlias/>
        <IsConverted>false</IsConverted>
        <LegalEntityNameID>17524331</LegalEntityNameID>
        <RepresentatedNamesOfAssistant/>
        <LegalEntityTypeID>4</LegalEntityTypeID>
        <IsVerdictExists>false</IsVerdictExists>
        <IsAsirAzir>false</IsAsirAzir>
        <IsPublicationProhibited>false</IsPublicationProhibited>
        <PublicationProhibitedFullName>עדי גרינפלד</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לממשלה היועץ המשפטי</FullName>
        <FirstName>לממשלה</FirstName>
        <LastName>היועץ המשפטי</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263568174</CasePartyID>
        <PartyTypeID>1</PartyTypeID>
        <ActivityStatusID>1</ActivityStatusID>
        <PartyAliasID>4</PartyAliasID>
        <PartyAliasName>משיב</PartyAliasName>
        <OrdinalNumber>1</OrdinalNumber>
        <LegalEntityID>81606353</LegalEntityID>
        <CaseLegalEntityID>126950491</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95841140</LegalEntityNameID>
        <RepresentatedNamesOfAssistant/>
        <LegalEntityTypeID>1</LegalEntityTypeID>
        <IsVerdictExists>false</IsVerdictExists>
        <IsAsirAzir>false</IsAsirAzir>
        <IsPublicationProhibited>false</IsPublicationProhibited>
        <PublicationProhibitedFullName>לממשלה היועץ המשפטי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בית החולים איתנים, משרד הבריאות, לממשלה היועץ המשפטי, הפסיכיאטר המחוזי ירושלים</RepresentatedOrRepresentativesNames>
        <RepresentatedOrRepresentativesCount>4</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263568175</CasePartyID>
        <PartyTypeID>2</PartyTypeID>
        <ActivityStatusID>1</ActivityStatusID>
        <PartyAliasID>23</PartyAliasID>
        <PartyAliasName>בא כוח משיבים</PartyAliasName>
        <OrdinalNumber>1</OrdinalNumber>
        <LegalEntityID>401563</LegalEntityID>
        <CaseLegalEntityID>126950492</CaseLegalEntityID>
        <AuthenticationTypeID>4</AuthenticationTypeID>
        <AuthenticationTypeName>מ.ר.</AuthenticationTypeName>
        <LegalEntityNumber>23388</LegalEntityNumber>
        <IsMainPartyType>true</IsMainPartyType>
        <CaseDisplayIdentifier>24003-12-23</CaseDisplayIdentifier>
        <CaseTypeID>10001</CaseTypeID>
        <CaseTypeName>ערעור אזרחי (ע"א)</CaseTypeName>
        <CaseName>בזה נ' היועץ המשפטי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משרד הבריאות</FullName>
        <FirstName>משרד</FirstName>
        <LastName>הבריאות</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263568169</CasePartyID>
        <PartyTypeID>1</PartyTypeID>
        <ActivityStatusID>1</ActivityStatusID>
        <PartyAliasID>4</PartyAliasID>
        <PartyAliasName>משיב</PartyAliasName>
        <OrdinalNumber>2</OrdinalNumber>
        <LegalEntityID>81606350</LegalEntityID>
        <CaseLegalEntityID>126950486</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95841136</LegalEntityNameID>
        <RepresentatedNamesOfAssistant/>
        <LegalEntityTypeID>1</LegalEntityTypeID>
        <IsVerdictExists>false</IsVerdictExists>
        <IsAsirAzir>false</IsAsirAzir>
        <IsPublicationProhibited>false</IsPublicationProhibited>
        <PublicationProhibitedFullName>משרד הבריאות</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הפסיכיאטר המחוזי ירושלים</FullName>
        <FirstName>הפסיכיאטר המחוזי</FirstName>
        <LastName>ירושלים</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263568170</CasePartyID>
        <PartyTypeID>1</PartyTypeID>
        <ActivityStatusID>1</ActivityStatusID>
        <PartyAliasID>4</PartyAliasID>
        <PartyAliasName>משיב</PartyAliasName>
        <OrdinalNumber>3</OrdinalNumber>
        <LegalEntityID>81606351</LegalEntityID>
        <CaseLegalEntityID>126950487</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95841137</LegalEntityNameID>
        <RepresentatedNamesOfAssistant/>
        <LegalEntityTypeID>1</LegalEntityTypeID>
        <IsVerdictExists>false</IsVerdictExists>
        <IsAsirAzir>false</IsAsirAzir>
        <IsPublicationProhibited>false</IsPublicationProhibited>
        <PublicationProhibitedFullName>הפסיכיאטר המחוזי ירושלים</PublicationProhibitedFullName>
      </CaseParties>
      <CaseParties>
        <PartyTypeName>צד</PartyTypeName>
        <ProceedingType>כתב טענות עיקרי</ProceedingType>
        <PleaName>הודעת ערעור</PleaName>
        <PartyBelonging>צד ב'</PartyBelonging>
        <RoleName>משיב 4</RoleName>
        <IsSubProceeding>FALSE</IsSubProceeding>
        <FullName>בית החולים איתנים</FullName>
        <FirstName>בית החולים</FirstName>
        <LastName>איתנים</LastName>
        <PartyPropertyName/>
        <AuthenticationTypeAndNumber>ת"ז </AuthenticationTypeAndNumber>
        <RepresentatedOrRepresentativesNames>קרן יוסט</RepresentatedOrRepresentativesNames>
        <RepresentatedOrRepresentativesCount>1</RepresentatedOrRepresentativesCount>
        <InvitedBy/>
        <CaseID>80821437</CaseID>
        <CaseJudicialPersonPresentationDS>
          <CaseJudicalPersonActive>
            <CaseID>80821437</CaseID>
            <JudicialPersonID>055121115@GOV.IL</JudicialPersonID>
            <JudicialPersonTypeID>1</JudicialPersonTypeID>
            <JudicialTypeID>1</JudicialTypeID>
            <IsChairman>false</IsChairman>
            <TreatmentStartDate>2023-12-12T11:43:09.9+02:00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263568171</CasePartyID>
        <PartyTypeID>1</PartyTypeID>
        <ActivityStatusID>1</ActivityStatusID>
        <PartyAliasID>4</PartyAliasID>
        <PartyAliasName>משיב</PartyAliasName>
        <OrdinalNumber>4</OrdinalNumber>
        <LegalEntityID>81606352</LegalEntityID>
        <CaseLegalEntityID>126950488</CaseLegalEntityID>
        <AuthenticationTypeID>1</AuthenticationTypeID>
        <AuthenticationTypeName>ת"ז</AuthenticationTypeName>
        <IsMainPartyType>true</IsMainPartyType>
        <CaseDisplayIdentifier>24003-12-23</CaseDisplayIdentifier>
        <CaseTypeID>10001</CaseTypeID>
        <CaseTypeName>ערעור אזרחי (ע"א)</CaseTypeName>
        <CaseName>בזה נ' היועץ המשפטי ואח'</CaseName>
        <FullAddress/>
        <MotionID>0</MotionID>
        <CasePleaID>0</CasePleaID>
        <LinkedCaseID>0</LinkedCaseID>
        <PartyID>2</PartyID>
        <CasePartyCategoryID>2</CasePartyCategoryID>
        <PleaTypeID>6</PleaTypeID>
        <GroupPartyAlias>משיבים</GroupPartyAlias>
        <IsConverted>false</IsConverted>
        <LegalEntityNameID>95841138</LegalEntityNameID>
        <RepresentatedNamesOfAssistant/>
        <LegalEntityTypeID>1</LegalEntityTypeID>
        <IsVerdictExists>false</IsVerdictExists>
        <IsAsirAzir>false</IsAsirAzir>
        <IsPublicationProhibited>false</IsPublicationProhibited>
        <PublicationProhibitedFullName>בית החולים איתנים</PublicationProhibitedFullName>
      </CaseParties>
    </CasePartiesSelectionDS>
    <CaseName>בזה נ' היועץ המשפטי ואח'</CaseName>
    <CaseDisplayIdentifier>24003-12-23</CaseDisplayIdentifier>
    <CaseInterestID>75</CaseInterestID>
    <CaseTypeShortName>ע"א</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IsPublicationProhibited>false</IsPublicationProhibited>
  </dt_LegalEntityDetails>
  <dt_LegalEntityDetails>
    <Phone>077-8833095</Phone>
    <AddressDesc>רחובות</AddressDesc>
    <PartyID>1</PartyID>
    <PartyTypeID>2</PartyTypeID>
    <DecisionID>0</DecisionID>
    <StreetName>יזהר סמילנסקי 5ב</StreetName>
    <ZipCode>76200</ZipCode>
    <CityName>רחובות</CityName>
    <FullName>עדי גרינפלד</FullName>
    <Email>advgrinfeld@gmail.com</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אביגדור דורות</CaseJudicalPerson>
  </dt_CaseJudicalPersonActive>
  <dt_Sitting>
    <PreviousMeetingDate>2023-12-13T12:00:00+02:00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B0E00-1843-49C0-B83F-2FBAA67F8DC4}">
  <ds:schemaRefs/>
</ds:datastoreItem>
</file>

<file path=customXml/itemProps2.xml><?xml version="1.0" encoding="utf-8"?>
<ds:datastoreItem xmlns:ds="http://schemas.openxmlformats.org/officeDocument/2006/customXml" ds:itemID="{9DFDF30E-78E9-49E9-AE50-F7B070C1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1418</Words>
  <Characters>7094</Characters>
  <Application>Microsoft Office Word</Application>
  <DocSecurity>0</DocSecurity>
  <Lines>59</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2023-12-21T08:21:00Z</dcterms:created>
  <dcterms:modified xsi:type="dcterms:W3CDTF">2023-12-21T08:21:00Z</dcterms:modified>
</cp:coreProperties>
</file>